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BF21" w14:textId="77777777" w:rsidR="009D4DA5" w:rsidRPr="003F518A" w:rsidRDefault="009D4DA5" w:rsidP="00A1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tbl>
      <w:tblPr>
        <w:tblW w:w="10065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3"/>
        <w:gridCol w:w="1567"/>
        <w:gridCol w:w="1901"/>
        <w:gridCol w:w="3344"/>
      </w:tblGrid>
      <w:tr w:rsidR="00EF2D9C" w:rsidRPr="003F518A" w14:paraId="5BAB7D5E" w14:textId="77777777" w:rsidTr="00076E63">
        <w:trPr>
          <w:trHeight w:val="326"/>
        </w:trPr>
        <w:tc>
          <w:tcPr>
            <w:tcW w:w="10065" w:type="dxa"/>
            <w:gridSpan w:val="4"/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14:paraId="3C712529" w14:textId="77777777" w:rsidR="00076E63" w:rsidRPr="003F518A" w:rsidRDefault="00076E63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РЕЗЮМЕ НА ЦЯЛОСТНА ПРЕДВАРИТЕЛНА ОЦЕНКА НА ВЪЗДЕЙСТВИЕТО</w:t>
            </w:r>
          </w:p>
        </w:tc>
      </w:tr>
      <w:tr w:rsidR="00EF2D9C" w:rsidRPr="003F518A" w14:paraId="1D184858" w14:textId="77777777" w:rsidTr="00076E63">
        <w:trPr>
          <w:trHeight w:val="60"/>
        </w:trPr>
        <w:tc>
          <w:tcPr>
            <w:tcW w:w="4820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5CF5796E" w14:textId="77777777" w:rsidR="00076E63" w:rsidRPr="003F518A" w:rsidRDefault="001138D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Институция:</w:t>
            </w:r>
          </w:p>
          <w:p w14:paraId="50405B95" w14:textId="77777777" w:rsidR="00076E63" w:rsidRPr="003F518A" w:rsidRDefault="0017572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>Министерство на транспорта и съобщенията</w:t>
            </w:r>
            <w:r w:rsidRPr="003F518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50064F2D" w14:textId="77777777" w:rsidR="00076E63" w:rsidRPr="003F518A" w:rsidRDefault="001138D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Нормативен акт:</w:t>
            </w:r>
            <w:r w:rsidR="00175721"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Закон за изменение и допълнение на Закона за гражданското въздухоплаване</w:t>
            </w:r>
          </w:p>
        </w:tc>
      </w:tr>
      <w:tr w:rsidR="00EF2D9C" w:rsidRPr="003F518A" w14:paraId="4B24DA10" w14:textId="77777777" w:rsidTr="00076E63">
        <w:trPr>
          <w:trHeight w:val="60"/>
        </w:trPr>
        <w:tc>
          <w:tcPr>
            <w:tcW w:w="4820" w:type="dxa"/>
            <w:gridSpan w:val="2"/>
            <w:shd w:val="clear" w:color="auto" w:fill="FFFFFF"/>
            <w:tcMar>
              <w:top w:w="60" w:type="dxa"/>
              <w:bottom w:w="0" w:type="dxa"/>
            </w:tcMar>
          </w:tcPr>
          <w:p w14:paraId="479C0706" w14:textId="77777777" w:rsidR="00076E63" w:rsidRPr="003F518A" w:rsidRDefault="001138D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Период на извършване на оценката:</w:t>
            </w:r>
          </w:p>
          <w:p w14:paraId="47C64DB7" w14:textId="674F8445" w:rsidR="00076E63" w:rsidRPr="003F518A" w:rsidRDefault="0015260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>ю</w:t>
            </w:r>
            <w:r w:rsidR="000F2A60"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 xml:space="preserve">ли </w:t>
            </w:r>
            <w:r w:rsidR="001820AD"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 xml:space="preserve">– </w:t>
            </w:r>
            <w:r w:rsidR="00112869"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>септември</w:t>
            </w:r>
            <w:r w:rsidR="001820AD"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  <w:r w:rsidR="000F2A60"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>2024 г</w:t>
            </w:r>
            <w:r w:rsidR="00175721" w:rsidRPr="003F51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>.</w:t>
            </w:r>
          </w:p>
          <w:p w14:paraId="1DA04BD6" w14:textId="77777777" w:rsidR="00076E63" w:rsidRPr="003F518A" w:rsidRDefault="00076E63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5245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298A08DD" w14:textId="73BBE13B" w:rsidR="00076E63" w:rsidRPr="003F518A" w:rsidRDefault="00076E63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EFEFE"/>
              </w:rPr>
              <w:object w:dxaOrig="225" w:dyaOrig="225" w14:anchorId="33AEED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pt" o:ole="">
                  <v:imagedata r:id="rId8" o:title=""/>
                </v:shape>
                <w:control r:id="rId9" w:name="OptionButton11" w:shapeid="_x0000_i1033"/>
              </w:object>
            </w:r>
            <w:r w:rsidRPr="003F518A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</w:rPr>
              <w:object w:dxaOrig="225" w:dyaOrig="225" w14:anchorId="58C6FC81">
                <v:shape id="_x0000_i1035" type="#_x0000_t75" style="width:108pt;height:18pt" o:ole="">
                  <v:imagedata r:id="rId10" o:title=""/>
                </v:shape>
                <w:control r:id="rId11" w:name="OptionButton12" w:shapeid="_x0000_i1035"/>
              </w:object>
            </w:r>
            <w:r w:rsidRPr="003F518A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</w:rPr>
              <w:object w:dxaOrig="225" w:dyaOrig="225" w14:anchorId="64D1C318">
                <v:shape id="_x0000_i1037" type="#_x0000_t75" style="width:171pt;height:18pt" o:ole="">
                  <v:imagedata r:id="rId12" o:title=""/>
                </v:shape>
                <w:control r:id="rId13" w:name="OptionButton22" w:shapeid="_x0000_i1037"/>
              </w:object>
            </w:r>
            <w:r w:rsidRPr="003F518A">
              <w:rPr>
                <w:rFonts w:ascii="Times New Roman" w:eastAsia="Times New Roman" w:hAnsi="Times New Roman" w:cs="Times New Roman"/>
                <w:i/>
                <w:iCs/>
                <w:shd w:val="clear" w:color="auto" w:fill="FEFEFE"/>
              </w:rPr>
              <w:object w:dxaOrig="225" w:dyaOrig="225" w14:anchorId="5E364E94">
                <v:shape id="_x0000_i1039" type="#_x0000_t75" style="width:108pt;height:18pt" o:ole="">
                  <v:imagedata r:id="rId14" o:title=""/>
                </v:shape>
                <w:control r:id="rId15" w:name="OptionButton121" w:shapeid="_x0000_i1039"/>
              </w:object>
            </w:r>
          </w:p>
          <w:p w14:paraId="2F82E200" w14:textId="77777777" w:rsidR="00076E63" w:rsidRPr="003F518A" w:rsidRDefault="00076E63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EFEFE"/>
                <w:lang w:val="bg-BG" w:eastAsia="bg-BG"/>
              </w:rPr>
              <w:t>От какво ниво възниква необходимостта от предприемане на действието?</w:t>
            </w:r>
          </w:p>
        </w:tc>
      </w:tr>
      <w:tr w:rsidR="00EF2D9C" w:rsidRPr="003F518A" w14:paraId="1B2A77A6" w14:textId="77777777" w:rsidTr="009D4DA5">
        <w:trPr>
          <w:trHeight w:val="60"/>
        </w:trPr>
        <w:tc>
          <w:tcPr>
            <w:tcW w:w="4820" w:type="dxa"/>
            <w:gridSpan w:val="2"/>
            <w:tcMar>
              <w:top w:w="60" w:type="dxa"/>
              <w:bottom w:w="0" w:type="dxa"/>
            </w:tcMar>
          </w:tcPr>
          <w:p w14:paraId="5FCE7D44" w14:textId="77777777" w:rsidR="00630171" w:rsidRPr="003F518A" w:rsidRDefault="001138D1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0FA8714C" w14:textId="77777777" w:rsidR="00D909F1" w:rsidRPr="003F518A" w:rsidRDefault="00172F84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Мануела Мануилова</w:t>
            </w:r>
            <w:r w:rsidR="00D909F1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</w:p>
          <w:p w14:paraId="4C0F310C" w14:textId="77777777" w:rsidR="00175721" w:rsidRPr="003F518A" w:rsidRDefault="00175721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Главна дирекция „Гражданска въздухоплавателна администрация“</w:t>
            </w:r>
          </w:p>
          <w:p w14:paraId="7DD97B4A" w14:textId="77777777" w:rsidR="001138D1" w:rsidRPr="003F518A" w:rsidRDefault="001138D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5245" w:type="dxa"/>
            <w:gridSpan w:val="2"/>
            <w:tcMar>
              <w:top w:w="60" w:type="dxa"/>
              <w:bottom w:w="0" w:type="dxa"/>
            </w:tcMar>
          </w:tcPr>
          <w:p w14:paraId="1B5BAF3C" w14:textId="77777777" w:rsidR="001138D1" w:rsidRPr="003F518A" w:rsidRDefault="001138D1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 и ел. поща:</w:t>
            </w:r>
          </w:p>
          <w:p w14:paraId="275E5343" w14:textId="77777777" w:rsidR="00A13D60" w:rsidRPr="003F518A" w:rsidRDefault="0017572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тел. 02/937</w:t>
            </w:r>
            <w:r w:rsidR="00D03AD0"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-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10</w:t>
            </w:r>
            <w:r w:rsidR="00D909F1"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7</w:t>
            </w:r>
            <w:r w:rsidR="00172F84"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8</w:t>
            </w:r>
            <w:r w:rsidR="00D909F1"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</w:p>
          <w:p w14:paraId="68ACE93C" w14:textId="77777777" w:rsidR="001138D1" w:rsidRPr="003F518A" w:rsidRDefault="0017572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e-mail:</w:t>
            </w:r>
            <w:r w:rsidR="00172F84"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  <w:hyperlink r:id="rId16" w:history="1">
              <w:r w:rsidR="00172F84" w:rsidRPr="003F518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EFEFE"/>
                  <w:lang w:val="bg-BG"/>
                </w:rPr>
                <w:t>mmanuilova@caa.bg</w:t>
              </w:r>
            </w:hyperlink>
          </w:p>
          <w:p w14:paraId="4C7C8FF8" w14:textId="77777777" w:rsidR="00172F84" w:rsidRPr="003F518A" w:rsidRDefault="00172F84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EFEFE"/>
                <w:lang w:val="bg-BG"/>
              </w:rPr>
            </w:pPr>
          </w:p>
          <w:p w14:paraId="61ABE985" w14:textId="77777777" w:rsidR="00172F84" w:rsidRPr="003F518A" w:rsidRDefault="00172F84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</w:tr>
      <w:tr w:rsidR="00EF2D9C" w:rsidRPr="003F518A" w14:paraId="0414B1FA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14:paraId="473CD719" w14:textId="77777777" w:rsidR="001D361A" w:rsidRPr="003F518A" w:rsidRDefault="00076E63" w:rsidP="001D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 Проблеми, цели и варианти на действие</w:t>
            </w:r>
            <w:r w:rsidR="001D361A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EF2D9C" w:rsidRPr="003F518A" w14:paraId="1BE50BFA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28FC79C5" w14:textId="77777777" w:rsidR="00A13D60" w:rsidRPr="003F518A" w:rsidRDefault="00A13D60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8D84C03" w14:textId="77777777" w:rsidR="00A13D60" w:rsidRPr="006A041E" w:rsidRDefault="00004B97" w:rsidP="0039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</w:t>
            </w:r>
            <w:r w:rsidR="00076E6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Липса на </w:t>
            </w:r>
            <w:r w:rsidR="00D909F1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изрично посочване </w:t>
            </w:r>
            <w:r w:rsidR="00C9109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съществуващи регистри</w:t>
            </w:r>
            <w:r w:rsidR="00921205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предвидени в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подзаконовата уредба</w:t>
            </w:r>
            <w:r w:rsidR="00921205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C9109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 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="00C9109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акона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гражданското въздухоплаване</w:t>
            </w:r>
            <w:r w:rsidR="00076E6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DD0C3B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1CE8F9F1" w14:textId="30621F84" w:rsidR="00DA269B" w:rsidRPr="006A041E" w:rsidRDefault="00D909F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В</w:t>
            </w:r>
            <w:r w:rsidR="00C91093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Закона за гражданското въздухоплаване</w:t>
            </w:r>
            <w:r w:rsidR="009A34E4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(ЗГВ)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не са посочени </w:t>
            </w:r>
            <w:r w:rsidR="00C91093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изчерпателно регистрите по прилагането му. В действащата уредба такива са предвидени в подзаконови актове по прилагането на закона</w:t>
            </w:r>
            <w:r w:rsidR="00C91093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 w:rsidR="00C9109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Със законопроекта се предвижда разпоредба, в която се изброяват</w:t>
            </w:r>
            <w:r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изчерпателно </w:t>
            </w:r>
            <w:r w:rsidR="00C91093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водените от Главна дирекция „Гражданска въздухоплавателна администрация“</w:t>
            </w:r>
            <w:r w:rsidR="00682289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(ГД ГВА)</w:t>
            </w:r>
            <w:r w:rsidR="00C91093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регистри, 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като по този начин се постига съответствие с </w:t>
            </w:r>
            <w:r w:rsidR="00C91093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изискванията на </w:t>
            </w:r>
            <w:r w:rsidR="002C2878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Закона за ограничаване на административното регулиране и административния контрол върху стопанската дейност (</w:t>
            </w:r>
            <w:r w:rsidR="00C91093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ЗОАРАКСД</w:t>
            </w:r>
            <w:r w:rsidR="002C2878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)</w:t>
            </w:r>
            <w:r w:rsidR="00C91093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и Решение № 298 на Министерския съвет от 2 април 2021  г., с което е приета актуализирана стратегия за развитие на електронното управление в Република България 2019</w:t>
            </w:r>
            <w:r w:rsidR="002C2878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-</w:t>
            </w:r>
            <w:r w:rsidR="002C2878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2025 г., Приложение № 2 към която е Концепцията за регистрова реформа.</w:t>
            </w:r>
            <w:r w:rsidR="003B7CF5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Посочените изменения са в изпълнение и на </w:t>
            </w:r>
            <w:bookmarkStart w:id="1" w:name="_Hlk176780391"/>
            <w:r w:rsidR="003B7CF5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Решение № 233 на Министерския съвет от </w:t>
            </w:r>
            <w:r w:rsidR="003B7CF5" w:rsidRPr="006A041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29 март 2024 година за приемане на План за намаляване на административната тежест</w:t>
            </w:r>
            <w:bookmarkEnd w:id="1"/>
            <w:r w:rsidR="003B7CF5" w:rsidRPr="006A041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</w:p>
          <w:p w14:paraId="30C946ED" w14:textId="77777777" w:rsidR="00CE5E9D" w:rsidRPr="006A041E" w:rsidRDefault="00CE5E9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Проблемът не може да се реши в рамките на </w:t>
            </w:r>
            <w:r w:rsidR="003E67FD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действащия закон, тъй като в него не са изчерпателно изброени съществуващите регистри, водени от </w:t>
            </w:r>
            <w:r w:rsidR="009803A9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ГД ГВА.</w:t>
            </w:r>
          </w:p>
          <w:p w14:paraId="34B2CAAA" w14:textId="77777777" w:rsidR="00CE5E9D" w:rsidRPr="006A041E" w:rsidRDefault="00CE5E9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Причината за възникване на проблема е</w:t>
            </w:r>
            <w:r w:rsidR="009A34E4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обстоятелството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, че съществуващите регистри са описани в подзаконовата уредба по прилагането на закона. Воденето им произтича от изисквания на правото на Е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вропейския съюз (ЕС)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.</w:t>
            </w:r>
            <w:r w:rsidR="00C62654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</w:p>
          <w:p w14:paraId="4A15AA0F" w14:textId="77777777" w:rsidR="00751231" w:rsidRPr="006A041E" w:rsidRDefault="00751231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  <w:p w14:paraId="46D443CC" w14:textId="3E505ECE" w:rsidR="00EA0785" w:rsidRPr="006A041E" w:rsidRDefault="00004B97" w:rsidP="00F3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</w:t>
            </w:r>
            <w:r w:rsidR="00F570B2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076E6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DA269B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Стартирала п</w:t>
            </w:r>
            <w:r w:rsidR="00C91093" w:rsidRPr="006A041E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роцедура за нарушение (infringement) № 2014/4241</w:t>
            </w:r>
            <w:r w:rsidR="00921205" w:rsidRPr="006A041E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образувана от Европейската комисия срещу Република България</w:t>
            </w:r>
            <w:r w:rsidR="00076E6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DD0C3B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5839D4C8" w14:textId="30AC3A9D" w:rsidR="00C91093" w:rsidRPr="006A041E" w:rsidRDefault="00C91093" w:rsidP="00083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 ход е</w:t>
            </w:r>
            <w:r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процедура за нарушение (infringement) № 2014/4241 срещу Република България за неправилно прилагане на Директива 2009/12/EО на Европейския парламент и на Съвета от 11 март 2009 г. относно летищните такси и на Регламент (EО) № 1008/2008 относно общите правила за извършване на въздухоплавателни услуги в Общността, въз основа на чл. 258 от Договора за функционирането на Европейския съюз. В случай че не бъдат предприети законови изменения, съобразно препоръките на Европейската комисия, </w:t>
            </w:r>
            <w:r w:rsidR="00FF27F7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съществува риск от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образуване на съдебно производство пред Съда на Европейския съюз срещу Република България за неспазване на нормативната уредба на ЕС.</w:t>
            </w:r>
            <w:r w:rsidR="000834D7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Посочените изменения са в изпълнение и на Законодателната програма на Министерски</w:t>
            </w:r>
            <w:r w:rsidR="00EE020F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0834D7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съвет за периода 1 януари – 30 юни 2024 г.</w:t>
            </w:r>
          </w:p>
          <w:p w14:paraId="3DA4D72C" w14:textId="3B2FE2F6" w:rsidR="00E14E64" w:rsidRPr="006A041E" w:rsidRDefault="00C62654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Причината за 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проблема 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е</w:t>
            </w:r>
            <w:r w:rsidR="00DA269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обстоятелството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, че процедурата за нарушение срещу Република България</w:t>
            </w:r>
            <w:r w:rsidR="00911399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E42066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не е завършила и условието за приключването </w:t>
            </w:r>
            <w:r w:rsidR="00C72A9C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ѝ</w:t>
            </w:r>
            <w:r w:rsidR="00E42066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E14E64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е извършване на законодателната </w:t>
            </w:r>
            <w:r w:rsidR="00E14E64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lastRenderedPageBreak/>
              <w:t xml:space="preserve">промяна </w:t>
            </w:r>
            <w:r w:rsidR="00911399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–</w:t>
            </w:r>
            <w:r w:rsidR="00E14E64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изрично посочване на лицата, които могат да обжалват решенията по реда на Глава Хв от ЗГВ. 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</w:p>
          <w:p w14:paraId="77DF76A4" w14:textId="77777777" w:rsidR="00A13D60" w:rsidRPr="006A041E" w:rsidRDefault="00A13D60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  <w:p w14:paraId="52D7729B" w14:textId="2C51C8A6" w:rsidR="00A13D60" w:rsidRPr="006A041E" w:rsidRDefault="00004B97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EA0785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570B2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076E6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Липса на </w:t>
            </w:r>
            <w:r w:rsidR="00C9109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разпоредби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свързани с</w:t>
            </w:r>
            <w:r w:rsidR="00C9109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киберсигурността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 гражданското въздухоплаване</w:t>
            </w:r>
            <w:r w:rsidR="00076E63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DD0C3B"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2E54760F" w14:textId="3A09EB5A" w:rsidR="00CE5E9D" w:rsidRPr="006A041E" w:rsidRDefault="003E67F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ЗГВ</w:t>
            </w:r>
            <w:r w:rsidR="00CE5E9D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липсват основания за предприемане на мерки за осигуряване на киберсигурността в гражданското въздухоплаване.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CE5E9D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Необходимо е да се предвиди</w:t>
            </w:r>
            <w:r w:rsidR="00CE5E9D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уредба относно киберсигурността в гражданското въздухоплаване, каквито са изискванията на Регламент за изпълнение (ЕС) № 2019/1583 на Комисията от 23 септември 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bg-BG"/>
              </w:rPr>
              <w:t>2019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г. за изменение на Регламент за изпълнение (ЕС) № 2015/1998 по отношение на мерките за киберсигурност. Мерките са вече отразени в т.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01.4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Глава 01 от Националната програма за сигурност в гражданското въздухоплаване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(НПСГ</w:t>
            </w:r>
            <w:r w:rsidR="00DD0C3B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)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и т. 1.7, Глава 1 от 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НПСВГ 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 отношение на мерките за киберсигурност, както и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т. 11.1.2 и 11.2.8,  Глава 11 от НПСГВ по отношение на изисквания към лицата, имащи достъп до информационни и комуникационни, технологични системи и данни от критично значение в гражданското въздухоплаване.</w:t>
            </w:r>
            <w:r w:rsidR="00921205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Необходимо е </w:t>
            </w:r>
            <w:r w:rsidR="00682289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наличие на </w:t>
            </w:r>
            <w:r w:rsidR="00921205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законова норма, за да се гарантира прилагането им.</w:t>
            </w:r>
            <w:r w:rsidR="000834D7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834D7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Посочените изменения са в изпълнение и на Законодателната програма на Министерски</w:t>
            </w:r>
            <w:r w:rsidR="00EE020F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0834D7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съвет за периода 1 януари – 30 юни 2024 г.</w:t>
            </w:r>
          </w:p>
          <w:p w14:paraId="7941D771" w14:textId="77777777" w:rsidR="00E14E64" w:rsidRPr="006A041E" w:rsidRDefault="00E43DBB" w:rsidP="00A1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Причината за възникване на проблема е свързана с липсата на разпоредби относно киберсигурността в закона.</w:t>
            </w:r>
          </w:p>
          <w:p w14:paraId="6DF2FA84" w14:textId="77777777" w:rsidR="00A13D60" w:rsidRPr="006A041E" w:rsidRDefault="00A13D60" w:rsidP="00A1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D818C85" w14:textId="588B4A8A" w:rsidR="00A13D60" w:rsidRPr="006A041E" w:rsidRDefault="00CE5E9D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 w:rsidR="00F570B2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</w:t>
            </w:r>
            <w:r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„Липса на такси за извършвани административни услуги, произтичащи от уредба на ЕС“</w:t>
            </w:r>
            <w:r w:rsidR="00DD0C3B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  <w:p w14:paraId="0DF899D2" w14:textId="77777777" w:rsidR="00CE5E9D" w:rsidRPr="006A041E" w:rsidRDefault="00CE5E9D" w:rsidP="00381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Понастоящем </w:t>
            </w:r>
            <w:r w:rsidR="009803A9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ГД ГВА</w:t>
            </w:r>
            <w:r w:rsidR="00921205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предоставя административни услуги, за които не са предвидени такси. За извършването им е ангажиран значителен административен ресурс. Липсват основания за събиране на такси за административно обслужване. В уредбата на </w:t>
            </w:r>
            <w:r w:rsidR="00A13D60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ЕС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е предвидено предоставянето на административни услуги, които са задължителни за компетентната администрация, а именно –</w:t>
            </w:r>
            <w:r w:rsidR="009803A9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ГД ГВА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Необходимо е при остойностяването на тези административни услуги да се предвидят такси. </w:t>
            </w:r>
          </w:p>
          <w:p w14:paraId="1DBA0FAA" w14:textId="77777777" w:rsidR="00F35CCA" w:rsidRPr="006A041E" w:rsidRDefault="00E14E64" w:rsidP="00381A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Административните услуги произтичат от </w:t>
            </w:r>
            <w:r w:rsidR="00422557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уредба на ЕС, съдържаща обвързващи изисквания за националния контролен орган (ГД ГВА) да извършва определени административни действия. Те се изпълняват своевременно по ред, установен нормативно</w:t>
            </w:r>
            <w:r w:rsidR="000B616B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и се съдържат в Регистъра на услугите, част от Административния регистър. Остойностяването им не е направено досега. Основание за събирането им – също.</w:t>
            </w:r>
            <w:r w:rsidR="000B616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</w:p>
          <w:p w14:paraId="5481C768" w14:textId="34F89996" w:rsidR="00F35CCA" w:rsidRPr="006A041E" w:rsidRDefault="00F35CCA" w:rsidP="00381A1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О</w:t>
            </w: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>снования за събиране на такси е необходимо да бъдат въведени за извършването на следните административни услуги, като предложения</w:t>
            </w:r>
            <w:r w:rsidR="00EE020F"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>та</w:t>
            </w: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 са съобразени с Методиката за определяне на разходоориентиран размер на таксите по чл. 7а от 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ЗОАРАКСД</w:t>
            </w: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 и разходването им:</w:t>
            </w:r>
          </w:p>
          <w:p w14:paraId="180489BB" w14:textId="72DAF1F9" w:rsidR="00F35CCA" w:rsidRPr="006A041E" w:rsidRDefault="00F35CCA" w:rsidP="00381A1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</w:pP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– за регистрация и годишна проверка за съответствие на летища, която  заменя досегашната такса за издаване на удостоверение за експлоатационна годност и годишна проверка на летателна площадка. Предложението е свързано с промените в ЗГВ относно класификацията на видовете летища (обн., ДВ, бр. 16 от 2021 г.). Съгласно измененията в чл. 43 от ЗГВ (ДВ, бр. 16 от 2021 г.) категорията „летателни площадки“ отпада и се въвежда нова група на най-малките „летища за обслужване на полети, различни от търговски въздушен превоз, с въздухоплавателни средства с максимална излетна маса под 5700 кг срещу заплащане или без заплащане, както и за технологични нужди на собственика без заплащане“. </w:t>
            </w:r>
          </w:p>
          <w:p w14:paraId="55A8E525" w14:textId="09E07A99" w:rsidR="00F35CCA" w:rsidRPr="006A041E" w:rsidRDefault="00F35CCA" w:rsidP="00381A1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</w:pP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– за вписване/продължаване на валидност/подновяване на квалификационен клас към свидетелства за правоспособност - това са отделни административни производства, като за всяко от тях се подава отделно заявление от заявителя, с което той кандидатства за придобиване на квалификация или за продължаване на валидност на квалификация, или за подновяване на права на квалификация и квалификационен клас. </w:t>
            </w:r>
          </w:p>
          <w:p w14:paraId="036002DC" w14:textId="77777777" w:rsidR="00F35CCA" w:rsidRPr="006A041E" w:rsidRDefault="00F35CCA" w:rsidP="00381A1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</w:pP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lastRenderedPageBreak/>
              <w:t>– за назначаване на 24-битов идентификационен код на транспондер, работещ в режим S-mode -  административната услуга е на основание на разпоредбите на Международната организация за гражданска авиация, посочени в глава 3 „Системи за наблюдение“, раздел 3.1.2.5.2.1.2  „IC - код за запитване“ от Приложение 10 на ИКАО „Аеронавигационни комуникации“, том 4, „Системи за наблюдение и избягване на сблъсък във въздуха“. Тя се извършва и съгласно Регламент № (ЕО) 262/2009 на Комисията от 30 март 2009 година за определяне на изисквания за координираното разпределение и използване на кодове за запитване в режим S за Единното европейско небе и в изпълнение на чл. 7, ал. 3 от Регламент за изпълнение № (ЕС) 1207/2011 на Комисията от 22 ноември 2011 година за определяне на изисквания относно функционирането и оперативната съвместимост на наблюдението в рамките на системата Единно европейско небе, където се посочва, че „държавите членки гарантират, че назначаването на 24-битови адреси на въздухоплавателните средства по ИКАО, оборудвани с транспондери, работещи в режим S, е в съответствие с условията на глава 9 от приложение 10, том 3“;</w:t>
            </w:r>
          </w:p>
          <w:p w14:paraId="75E29B12" w14:textId="149427E5" w:rsidR="00F35CCA" w:rsidRPr="006A041E" w:rsidRDefault="00F35CCA" w:rsidP="00381A1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</w:pP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>– за събиране на такса за издаване на специално разрешение за извършване на полет за летателни апарати без съответствие със сертификат за тип</w:t>
            </w:r>
            <w:r w:rsidR="00427D75"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 – </w:t>
            </w: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в </w:t>
            </w:r>
            <w:r w:rsidR="00427D75"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>П</w:t>
            </w: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>роцедурата за регистрация и издаване на специално разрешение за извършване на полети на летателни апарати без съответствие със сертификат за тип (обн.</w:t>
            </w:r>
            <w:r w:rsidR="00427D75"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>,</w:t>
            </w: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 ДВ, бр. 96 от 2021 г.) е предвидено издаването на специално разрешение за извършване на полети на летателни апарати без съответствие със сертификат за тип за всеки отделен полет като това е нова отделна административна услуга;</w:t>
            </w:r>
          </w:p>
          <w:p w14:paraId="403E0A02" w14:textId="7F1FBB35" w:rsidR="00F35CCA" w:rsidRPr="006A041E" w:rsidRDefault="00F35CCA" w:rsidP="00381A1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</w:pPr>
            <w:r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 – за издаване на единен сертификат за оператор на съоръжения за обслужване на пътници за летищата, попадащи в обхвата на Регламент (ЕС) 2018/1139, както и за годишна проверка за съответствие с условията, при които е издаден - административната услуга е в съответствие с разпоредбите на Регламент (ЕС) № 139/2014 и на Регламент (ЕС) 2018/1139. Посоченият сертификат се издава на летищен оператор, притежаващ единен сертификат за летищен оператор на летище по реда на Регламент (ЕС) № 139/2014, и представлява нова административна услуга, във връзка с която е предложената такса. </w:t>
            </w:r>
          </w:p>
          <w:p w14:paraId="1531B60E" w14:textId="18396E0E" w:rsidR="000B616B" w:rsidRPr="006A041E" w:rsidRDefault="000B616B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  <w:p w14:paraId="421C7466" w14:textId="72B77FD9" w:rsidR="00921205" w:rsidRPr="006A041E" w:rsidRDefault="00CE5E9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 w:rsidR="00F570B2"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5</w:t>
            </w:r>
            <w:r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 „</w:t>
            </w:r>
            <w:r w:rsidR="00347A9A"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Не</w:t>
            </w:r>
            <w:r w:rsidR="009A34E4"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обходимост от въвеждане на санк</w:t>
            </w:r>
            <w:r w:rsidR="00347A9A"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ции за неизпълнение на регламенти </w:t>
            </w:r>
            <w:r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на ЕС“</w:t>
            </w:r>
            <w:r w:rsidR="00A13D60"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Pr="006A0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58AA526E" w14:textId="77777777" w:rsidR="00CE5E9D" w:rsidRPr="006A041E" w:rsidRDefault="00347A9A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="009803A9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ЗГВ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липсват санкционни норми за неспазване на </w:t>
            </w:r>
            <w:r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някои</w:t>
            </w:r>
            <w:r w:rsidR="00E43DBB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E5E9D" w:rsidRPr="006A041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регламенти на ЕС в областта на гражданското въздухоплаване. Необходимо е да се предвидят административнонаказателни разпоредби, отразяващи възникнали нови основания за търсене на административнонаказателна отговорност, произтичащи от уредбата на ЕС. </w:t>
            </w:r>
          </w:p>
          <w:p w14:paraId="19293CF3" w14:textId="77777777" w:rsidR="00CE5E9D" w:rsidRPr="006A041E" w:rsidRDefault="00CE5E9D" w:rsidP="00A13D60">
            <w:pPr>
              <w:pStyle w:val="Heading3"/>
              <w:ind w:firstLine="0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6A041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Такива са предложените разпоредби за неизпълнение в срок на изискванията на задължения, произтичащи от Регламент (ЕС) № 376/2014</w:t>
            </w:r>
            <w:r w:rsidR="00921205" w:rsidRPr="006A041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921205" w:rsidRPr="006A041E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на Европейския парламент и на Съвета от 3 април 2014 година за докладване, анализ и последващи действия във връзка със събития в гражданското въздухоплаване, за изменение на Регламент (ЕС) № 996/2010 на Европейския парламент и на Съвета и за отмяна на Директива 2003/42/ЕО на Европейския парламент и на Съвета и на Регламенти (ЕО) № 1321/2007 и (ЕО) № 1330/2007 на Комисията</w:t>
            </w:r>
            <w:r w:rsidR="009A34E4" w:rsidRPr="006A041E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. </w:t>
            </w:r>
            <w:r w:rsidRPr="006A041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 xml:space="preserve">В случай, че </w:t>
            </w:r>
            <w:r w:rsidR="00347A9A" w:rsidRPr="006A041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 xml:space="preserve">промяна в закона </w:t>
            </w:r>
            <w:r w:rsidRPr="006A041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не бъде предприет</w:t>
            </w:r>
            <w:r w:rsidR="00347A9A" w:rsidRPr="006A041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6A041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 xml:space="preserve">, съществува риск от образуване на наказателна процедура за нарушение на правото на ЕС срещу Република България от Европейската комисия.  </w:t>
            </w:r>
          </w:p>
          <w:p w14:paraId="5E13FAD6" w14:textId="77777777" w:rsidR="00CE5E9D" w:rsidRPr="006A041E" w:rsidRDefault="00347A9A" w:rsidP="00A13D60">
            <w:pPr>
              <w:pStyle w:val="doc-ti"/>
              <w:shd w:val="clear" w:color="auto" w:fill="FFFFFF"/>
              <w:spacing w:before="0" w:beforeAutospacing="0" w:after="0" w:afterAutospacing="0"/>
              <w:jc w:val="both"/>
              <w:rPr>
                <w:lang w:val="bg-BG"/>
              </w:rPr>
            </w:pPr>
            <w:r w:rsidRPr="006A041E">
              <w:rPr>
                <w:rFonts w:eastAsia="Calibri"/>
                <w:lang w:val="bg-BG"/>
              </w:rPr>
              <w:t>Също така е н</w:t>
            </w:r>
            <w:r w:rsidR="00CE5E9D" w:rsidRPr="006A041E">
              <w:rPr>
                <w:rFonts w:eastAsia="Calibri"/>
                <w:lang w:val="bg-BG"/>
              </w:rPr>
              <w:t xml:space="preserve">еобходимо да се предприемат и неотложни законодателни мерки по въвеждането на санкции в националната уредба предвид </w:t>
            </w:r>
            <w:r w:rsidR="00CE5E9D" w:rsidRPr="006A041E">
              <w:rPr>
                <w:lang w:val="bg-BG"/>
              </w:rPr>
              <w:t xml:space="preserve">постъпило допълнително запитване от Европейската комисия в информационна фаза EU Pilot №: 10450/23 относно санкции във връзка с нарушения на регулаторната рамка за Единно европейско небе. Запитването на Европейската комисия е дали е въведен в законодателството санкционен режим в съответствие с чл. 9 от Регламент (ЕО) № 549/2004 </w:t>
            </w:r>
            <w:r w:rsidR="00D8584E" w:rsidRPr="006A041E">
              <w:rPr>
                <w:lang w:val="bg-BG"/>
              </w:rPr>
              <w:t>на Европейския парламент и на Съвета от 10 март 2004 година</w:t>
            </w:r>
            <w:r w:rsidRPr="006A041E">
              <w:rPr>
                <w:lang w:val="bg-BG"/>
              </w:rPr>
              <w:t xml:space="preserve"> </w:t>
            </w:r>
            <w:r w:rsidR="00D8584E" w:rsidRPr="006A041E">
              <w:rPr>
                <w:lang w:val="bg-BG"/>
              </w:rPr>
              <w:t xml:space="preserve">за определяне на рамката за създаването на Единно европейско небе </w:t>
            </w:r>
            <w:r w:rsidR="00CE5E9D" w:rsidRPr="006A041E">
              <w:rPr>
                <w:lang w:val="bg-BG"/>
              </w:rPr>
              <w:t xml:space="preserve">по отношение на онези ползватели на въздушното пространство и доставчици на аеронавигационно обслужване, които не изпълняват приложимите изисквания и срокове, произтичащи от Регламент за изпълнение (ЕС) 2021/116 на Комисията от 1 февруари 2021 година относно установяването на първия съвместен проект в подкрепа на </w:t>
            </w:r>
            <w:r w:rsidR="00CE5E9D" w:rsidRPr="006A041E">
              <w:rPr>
                <w:lang w:val="bg-BG"/>
              </w:rPr>
              <w:lastRenderedPageBreak/>
              <w:t>изпълнението на Европейския генерален план за управление на въздушното движение, предвиден в Регламент</w:t>
            </w:r>
            <w:r w:rsidR="00CE5E9D" w:rsidRPr="006A041E">
              <w:rPr>
                <w:i/>
                <w:iCs/>
                <w:lang w:val="bg-BG"/>
              </w:rPr>
              <w:t xml:space="preserve"> </w:t>
            </w:r>
            <w:r w:rsidR="00CE5E9D" w:rsidRPr="006A041E">
              <w:rPr>
                <w:lang w:val="bg-BG"/>
              </w:rPr>
              <w:t>(ЕО) № 550/2004 на Европейския парламент и на Съвета, за изменение на Регламент за изпълнение (ЕС) № 409/2013 на Комисията и за отмяна на Регламент за изпълнение (ЕС) № 716/2014 на Комисията. При невъвеждането в закона на санкции, които да са „</w:t>
            </w:r>
            <w:r w:rsidR="00CE5E9D" w:rsidRPr="006A041E">
              <w:rPr>
                <w:rFonts w:eastAsia="Calibri"/>
                <w:shd w:val="clear" w:color="auto" w:fill="FFFFFF"/>
                <w:lang w:val="bg-BG"/>
              </w:rPr>
              <w:t>ефективни, пропорционални и с възпиращ ефект“, съществува риск от започване на наказателна процедура за нарушение на правото на ЕС срещу Република България.</w:t>
            </w:r>
            <w:r w:rsidR="00CE5E9D" w:rsidRPr="006A041E">
              <w:rPr>
                <w:lang w:val="bg-BG"/>
              </w:rPr>
              <w:t xml:space="preserve"> </w:t>
            </w:r>
          </w:p>
          <w:p w14:paraId="49BFE17B" w14:textId="5F4F05C6" w:rsidR="00EA0785" w:rsidRPr="006A041E" w:rsidRDefault="00EA0785" w:rsidP="00A1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2" w:name="_Hlk171073228"/>
            <w:bookmarkStart w:id="3" w:name="_Hlk171070752"/>
            <w:r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Също така, необходимо е да се предприемат неотложни законодателни мерки по въвеждането на санкции в националната уредба с оглед влизането в сила на Регламент (ЕС) 2023/2405 на Европейския парламент и на Съвета от 18 октомври 2023 година за осигуряване на еднакви условия на конкуренция за устойчив въздушен транспорт (инициатива ReFuelEU — сектор „Авиация“) от 1 януари 2025 г. Санкционният режим трябва да е в съответствие с чл. 12 от Регламент (ЕС) 2023/2405, и да е ефективен, пропорционален и възпиращ по отношение на въздушните превозвачи, летищните оператори и доставчиците на авиационни горива, които не изпълняват приложимите изисквания и срокове за използване на устойчиви авиационни горива, произтичащи от Регламент (ЕС) 2023/2405 на Европейския парламент и на Съвета.</w:t>
            </w:r>
          </w:p>
          <w:bookmarkEnd w:id="2"/>
          <w:bookmarkEnd w:id="3"/>
          <w:p w14:paraId="613A0299" w14:textId="77777777" w:rsidR="00CE5E9D" w:rsidRPr="006A041E" w:rsidRDefault="000B616B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Нормативната уредба на ЕС, цитирана по-горе, съдържа изисквания в националното законодателство да бъдат въведени санкции, които да са „ефективни, пропорционални и </w:t>
            </w:r>
            <w:r w:rsidR="00682289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възпиращ</w:t>
            </w:r>
            <w:r w:rsidR="00682289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за гарантиране спазването на съдържащите се в посочените регламенти изисквания.</w:t>
            </w:r>
          </w:p>
          <w:p w14:paraId="09829C66" w14:textId="77777777" w:rsidR="00E43DBB" w:rsidRPr="006A041E" w:rsidRDefault="00E43DBB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Посочените по-горе проблеми не могат да се разрешат с действащата нормативна рамка – Закона за гражданското въздухоплаване, тъй като същите изискват предвиждане на законово ниво.</w:t>
            </w:r>
          </w:p>
          <w:p w14:paraId="72B6AF59" w14:textId="77777777" w:rsidR="000B616B" w:rsidRPr="006A041E" w:rsidRDefault="000B616B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Последваща оценка на </w:t>
            </w:r>
            <w:r w:rsidR="00E43DBB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Закона за гражданското въздухоплаване 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не е извършвана</w:t>
            </w:r>
            <w:r w:rsidR="00D8584E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.</w:t>
            </w:r>
          </w:p>
          <w:p w14:paraId="03C3A7B6" w14:textId="12CB35D0" w:rsidR="000834D7" w:rsidRPr="006A041E" w:rsidRDefault="000834D7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Посочените изменения са в изпълнение и на Законодателната програма на Министерски</w:t>
            </w:r>
            <w:r w:rsidR="00EE020F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съвет за периода 1 януари – 30 юни 2024 г.</w:t>
            </w:r>
          </w:p>
          <w:p w14:paraId="0FE27085" w14:textId="77777777" w:rsidR="00F570B2" w:rsidRPr="006A041E" w:rsidRDefault="00F570B2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571CF4F" w14:textId="617C65AE" w:rsidR="00EF6A7B" w:rsidRPr="006A041E" w:rsidRDefault="00EF6A7B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Проблем </w:t>
            </w:r>
            <w:r w:rsidR="00F570B2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6</w:t>
            </w:r>
            <w:r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„Необходимост от въвеждане на санкции за подаване на неверни и заблуждаващи съобщения за помощ, следствие от които е проведена операция по търсене и спасяване при авиационни произшествия“</w:t>
            </w:r>
            <w:r w:rsidR="00BC219D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</w:p>
          <w:p w14:paraId="2B86074E" w14:textId="249D2EF1" w:rsidR="00F570B2" w:rsidRPr="006A041E" w:rsidRDefault="00EF6A7B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В </w:t>
            </w:r>
            <w:r w:rsidR="00BC219D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ЗГВ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липсва санкционна норма, която да регулира обществените отношения в случаите</w:t>
            </w:r>
            <w:r w:rsidR="00BC219D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,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когато освен, че е подадено нев</w:t>
            </w:r>
            <w:r w:rsidR="00BC219D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я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рно или заблуждаващо съобщение за помощ, е проведена и съответната операция по търсене и спасяване.</w:t>
            </w:r>
            <w:r w:rsidR="00BC219D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  <w:r w:rsidR="00AB051D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Задействането на плана за провеждане на операция по търсене и спасяване при авиационно произшествие е свързано с ангажирането на голям брой участници, материален и човешки ресурс. Подаването на сигнал за настъпил инцидент по своя характер предполага в най-кратки срокове ангажирането на спешна помощ с оглед риск за живота, здравето, сигурността и имуществото на гражданите. Когато сигналът е неверен или заблуждаващ се стига до неоправдано изразходване на наличния обществен ресурс.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 З</w:t>
            </w:r>
            <w:r w:rsidR="00C348AB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аконът за гражданското въздухоплаване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не съдържа норма, която да санкционира подобен вид нарушения, но описаните по-горе реални рискове предполагат включването на такава разпоредба. С определения размер на глобата се цели освен санкционирането на вече допуснато нарушение, </w:t>
            </w:r>
            <w:r w:rsidR="005B575C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също</w:t>
            </w:r>
            <w:r w:rsidR="00AB051D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и превенция на подобно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поведение</w:t>
            </w:r>
            <w:r w:rsidR="005B575C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</w:p>
          <w:p w14:paraId="3BA42894" w14:textId="77777777" w:rsidR="00BC219D" w:rsidRPr="006A041E" w:rsidRDefault="00BC219D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  <w:p w14:paraId="084FF39A" w14:textId="4504A587" w:rsidR="00F06FB7" w:rsidRPr="006A041E" w:rsidRDefault="007A000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Проблем </w:t>
            </w:r>
            <w:r w:rsidR="00F570B2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7</w:t>
            </w:r>
            <w:r w:rsidR="00BD7CBE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„</w:t>
            </w:r>
            <w:r w:rsidR="00AB051D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Необходимост от промени в </w:t>
            </w:r>
            <w:r w:rsidR="00BD7CBE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Закона за обществените поръчки, </w:t>
            </w:r>
            <w:r w:rsidR="00AB051D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произтичаща от спецификата на </w:t>
            </w:r>
            <w:r w:rsidR="00155CDA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д</w:t>
            </w:r>
            <w:r w:rsidR="00BD7CBE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ейност</w:t>
            </w:r>
            <w:r w:rsidR="00155CDA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ите </w:t>
            </w:r>
            <w:r w:rsidR="00BD7CBE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на Държавно предприятие „Ръководство на въздушното движение</w:t>
            </w:r>
            <w:r w:rsidR="00055C59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(ДП РВД)</w:t>
            </w:r>
            <w:r w:rsidR="00155CDA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,</w:t>
            </w:r>
            <w:r w:rsidR="00155CDA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155CDA" w:rsidRPr="006A0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bg-BG"/>
              </w:rPr>
              <w:t>свързани с безопасността на въздухоплаването, с управлението на въздушното пространство и с осигуряването на аеронавигационното обслужване</w:t>
            </w:r>
            <w:r w:rsidR="00BD7CBE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“</w:t>
            </w:r>
            <w:r w:rsidR="00BC219D" w:rsidRPr="006A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</w:p>
          <w:p w14:paraId="23E6B379" w14:textId="75058A6B" w:rsidR="00BD7CBE" w:rsidRPr="006A041E" w:rsidRDefault="00BD7CBE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С предложен</w:t>
            </w:r>
            <w:r w:rsidR="001A1D39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ата промяна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  <w:r w:rsidR="00155CDA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в Закона за обществените поръчки 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се цели </w:t>
            </w:r>
            <w:r w:rsidR="00055C59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от</w:t>
            </w:r>
            <w:r w:rsidR="001A1D39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падане</w:t>
            </w:r>
            <w:r w:rsidR="00055C59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на и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зискван</w:t>
            </w:r>
            <w:r w:rsidR="00055C59" w:rsidRPr="006A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ето за </w:t>
            </w:r>
            <w:r w:rsidR="00055C59" w:rsidRPr="006A041E">
              <w:rPr>
                <w:rFonts w:ascii="Times New Roman" w:eastAsia="Batang" w:hAnsi="Times New Roman"/>
                <w:sz w:val="24"/>
                <w:szCs w:val="24"/>
                <w:lang w:val="bg-BG"/>
              </w:rPr>
              <w:t>задължително публикуване в Регистъра на обществените поръчки и в профила на купувача на обявления за възлагане на поръчки на стойност</w:t>
            </w:r>
            <w:r w:rsidR="00C73C85" w:rsidRPr="006A041E">
              <w:rPr>
                <w:rFonts w:ascii="Times New Roman" w:eastAsia="Batang" w:hAnsi="Times New Roman"/>
                <w:sz w:val="24"/>
                <w:szCs w:val="24"/>
                <w:lang w:val="bg-BG"/>
              </w:rPr>
              <w:t>,</w:t>
            </w:r>
            <w:r w:rsidR="00055C59" w:rsidRPr="006A041E">
              <w:rPr>
                <w:rFonts w:ascii="Times New Roman" w:eastAsia="Batang" w:hAnsi="Times New Roman"/>
                <w:sz w:val="24"/>
                <w:szCs w:val="24"/>
                <w:lang w:val="bg-BG"/>
              </w:rPr>
              <w:t xml:space="preserve"> равна или по-голяма от 50 000 лв., проведени на основание чл. 53, ал. 10 от ЗГВ, както и сключените договори и приложенията към тях за възлагане на тези поръчки.</w:t>
            </w:r>
            <w:r w:rsidR="00055C59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. </w:t>
            </w:r>
            <w:r w:rsidR="00C73C85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П</w:t>
            </w:r>
            <w:r w:rsidR="001A1D39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редложението е съобразен</w:t>
            </w:r>
            <w:r w:rsidR="00C73C85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о</w:t>
            </w:r>
            <w:r w:rsidR="001A1D39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с това, че обектите и съоръженията на ДП РВД, чрез които се осъществяват дейностите, свързани с безопасността на въздухоплаването, с управлението на въздушното пространство и с осигуряването на аеронавигационното </w:t>
            </w:r>
            <w:r w:rsidR="001A1D39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lastRenderedPageBreak/>
              <w:t>обслужване, са част от критичната инфраструктура от значение за националната сигурност и информацията за тяхното разположение, параметри и конкретни характеристики не следва да бъде публично достъпна</w:t>
            </w:r>
            <w:r w:rsidR="00C73C85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055C59"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с оглед защитата на обществения интерес. </w:t>
            </w:r>
          </w:p>
          <w:p w14:paraId="647FF1B6" w14:textId="77777777" w:rsidR="00055C59" w:rsidRPr="003F518A" w:rsidRDefault="00055C59" w:rsidP="00A1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  <w:r w:rsidRPr="006A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Проблемът не може да се реши в рамките на действащия закон, тъй като в него се съдържа изрично изискване за публикуване на обществените поръчки, касаещи включително дейностите, свързани с безопасността на въздухоплаването, с управлението на въздушното пространство и с осигуряването на аеронавигационното обслужване, осъществявани от ДП РВД.</w:t>
            </w:r>
          </w:p>
          <w:p w14:paraId="1B68BB45" w14:textId="12BB35C5" w:rsidR="00BD7CBE" w:rsidRPr="003F518A" w:rsidRDefault="00BD7CBE" w:rsidP="00F06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</w:tr>
      <w:tr w:rsidR="00EF2D9C" w:rsidRPr="003F518A" w14:paraId="3178FB95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3D093B5B" w14:textId="77777777" w:rsidR="000B616B" w:rsidRPr="003F518A" w:rsidRDefault="00076E63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1.2. Цели:</w:t>
            </w:r>
            <w:r w:rsidR="00175721" w:rsidRPr="003F5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</w:p>
          <w:p w14:paraId="2636DB1E" w14:textId="77777777" w:rsidR="001D361A" w:rsidRPr="003F518A" w:rsidRDefault="00F51681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</w:t>
            </w:r>
            <w:r w:rsidR="00076E63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E43DBB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Постигане на съответствие с изискванията на</w:t>
            </w:r>
            <w:r w:rsidR="00E43DBB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E43DBB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ЗОАРАКСД и Решение № 298 на Министерския съвет от 2 април 2021  г., с което е приета актуализирана стратегия за развитие на електронното управление в Република България 2019-2025 г., Приложение № 2 към която е Концепцията за регистрова реформа</w:t>
            </w:r>
            <w:r w:rsidR="009A34E4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“</w:t>
            </w:r>
            <w:r w:rsidR="001D361A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  <w:p w14:paraId="2180C533" w14:textId="77777777" w:rsidR="00C259F8" w:rsidRPr="003F518A" w:rsidRDefault="00C259F8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С изричното посочване в закона на регистрите, водени в </w:t>
            </w:r>
            <w:r w:rsidR="009803A9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ГД ГВА</w:t>
            </w:r>
            <w:r w:rsidR="00AA3869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,</w:t>
            </w:r>
            <w:r w:rsidR="00255A15" w:rsidRPr="003F5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ще се</w:t>
            </w:r>
            <w:r w:rsidR="000B616B" w:rsidRPr="003F5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  <w:r w:rsidR="000B616B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постигне съответствие с изискванията на</w:t>
            </w:r>
            <w:r w:rsidR="000B616B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B616B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ЗОАРАКСД и </w:t>
            </w: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Решение № 298 на Министерския съвет от 2 април 2021  г., с което е приета актуализирана стратегия за развитие на електронното управление в Република България 2019-2025 г., Приложение № 2 към която е Концепцията за регистрова реформа.</w:t>
            </w:r>
          </w:p>
          <w:p w14:paraId="6419EAF3" w14:textId="39370E34" w:rsidR="00076E63" w:rsidRPr="003F518A" w:rsidRDefault="000B616B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С</w:t>
            </w:r>
            <w:r w:rsidR="00C259F8"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ъщо така </w:t>
            </w:r>
            <w:r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ще се създаде предпоставка за по-висока обществена информираност и ще се осигури спазване на действащата нормативна уредба.</w:t>
            </w:r>
            <w:r w:rsidR="00682289"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515759AC" w14:textId="77777777" w:rsidR="00BD7CBE" w:rsidRPr="003F518A" w:rsidRDefault="00BD7CBE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  <w:p w14:paraId="2B30CF1C" w14:textId="5EE18E8E" w:rsidR="009A34E4" w:rsidRPr="003F518A" w:rsidRDefault="009A34E4" w:rsidP="001D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14:paraId="0A863294" w14:textId="0E26BD1F" w:rsidR="000976F7" w:rsidRPr="003F518A" w:rsidRDefault="00F51681" w:rsidP="00097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</w:t>
            </w:r>
            <w:r w:rsidR="00F570B2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076E63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255A1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Прекратяване на наказателната процедура пред ЕК</w:t>
            </w:r>
            <w:r w:rsidR="00076E63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0976F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594EFD3B" w14:textId="21BAC837" w:rsidR="00255A15" w:rsidRPr="003F518A" w:rsidRDefault="00C259F8" w:rsidP="0009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Цели се с</w:t>
            </w:r>
            <w:r w:rsidR="00255A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ъздава</w:t>
            </w: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не на</w:t>
            </w:r>
            <w:r w:rsidR="00255A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нормативно основание, с което да</w:t>
            </w:r>
            <w:r w:rsidR="00255A1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55A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бъдат изпълнени указанията</w:t>
            </w:r>
            <w:r w:rsidR="00255A1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55A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 Европейската комисия.</w:t>
            </w:r>
            <w:r w:rsidR="00255A1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55A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 промяната в уредбата ще се създаде необходимата предпоставка за прекратяване на </w:t>
            </w:r>
            <w:r w:rsidR="00255A15"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процедура за нарушение (infringement) № 2014/4241 срещу Република България</w:t>
            </w:r>
            <w:r w:rsidR="00255A15" w:rsidRPr="003F518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неправилно прилагане на Директива 2009/12/EО на Европейския парламент и на Съвета от 11 март 2009 г. относно летищните такси и на Регламент (EО) № 1008/2008 относно общите правила за извършване на въздухоплавателни услуги в Общността, въз основа на член 258 от Договора за функционирането на Европейския съюз. </w:t>
            </w:r>
          </w:p>
          <w:p w14:paraId="46559361" w14:textId="77777777" w:rsidR="009A34E4" w:rsidRPr="003F518A" w:rsidRDefault="009A34E4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C03CD00" w14:textId="159FB99A" w:rsidR="00076E63" w:rsidRPr="003F518A" w:rsidRDefault="00F51681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</w:t>
            </w:r>
            <w:r w:rsidR="00F570B2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076E63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255A1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Мерки по киберсигурността</w:t>
            </w:r>
            <w:r w:rsidR="00C259F8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 гражданското въздухоплаване</w:t>
            </w:r>
            <w:r w:rsidR="00076E63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18DC4DE5" w14:textId="7B079383" w:rsidR="00255A15" w:rsidRPr="003F518A" w:rsidRDefault="00C259F8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Цели се с</w:t>
            </w:r>
            <w:r w:rsidR="00255A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ъздаване на</w:t>
            </w:r>
            <w:r w:rsidR="00255A1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255A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у</w:t>
            </w:r>
            <w:r w:rsidR="00255A15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редба относно киберсигурността в гражданското въздухоплаване, каквито са изискванията на </w:t>
            </w:r>
            <w:r w:rsidR="00255A15"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Регламент за изпълнение (ЕС) № 2019/1583 на Комисията от 23 септември </w:t>
            </w:r>
            <w:r w:rsidR="00255A15" w:rsidRPr="003F518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bg-BG" w:eastAsia="bg-BG"/>
              </w:rPr>
              <w:t>2019</w:t>
            </w:r>
            <w:r w:rsidR="00255A15"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г. за изменение на Регламент за изпълнение (ЕС) № 2015/1998 по отношение на мерките за киберсигурност. По този начин ще се създадат основания за предприемане на конкретни мерки в националната уредба по повод изпълнението на изискванията на ЕС за киберсигурността в гражданското въздухоплаване. </w:t>
            </w:r>
          </w:p>
          <w:p w14:paraId="56A51C50" w14:textId="77777777" w:rsidR="009A34E4" w:rsidRPr="003F518A" w:rsidRDefault="009A34E4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  <w:p w14:paraId="173C05E7" w14:textId="2CA71703" w:rsidR="00D8584E" w:rsidRPr="003F518A" w:rsidRDefault="00D8584E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Цел </w:t>
            </w:r>
            <w:r w:rsidR="00F570B2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4</w:t>
            </w: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„Въвеждане на такси за извършвани административни услуги, произтичащи от уредба на ЕС“</w:t>
            </w:r>
            <w:r w:rsidR="000976F7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74BB246A" w14:textId="6FB6DABA" w:rsidR="00D8584E" w:rsidRPr="003F518A" w:rsidRDefault="00D8584E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Цели се създаване на основания за събиране на такси за административно обслужване в областта на административните такси за редица административни услуги, произтичащи от уредбата на ЕС, за които няма основания за събиране в закона. Съответните такси ще бъдат изчислявани съобразно методиката по чл. 7а от </w:t>
            </w:r>
            <w:r w:rsidR="00D374EF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ЗОАРАКСД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14:paraId="4A70EADF" w14:textId="77777777" w:rsidR="00FF27F7" w:rsidRPr="003F518A" w:rsidRDefault="00FF27F7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  <w:p w14:paraId="68EF4A4C" w14:textId="640E3CC8" w:rsidR="00D8584E" w:rsidRPr="003F518A" w:rsidRDefault="00D8584E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Цел </w:t>
            </w:r>
            <w:r w:rsidR="00F570B2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5</w:t>
            </w: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 „Създаване на </w:t>
            </w:r>
            <w:r w:rsidR="00C259F8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административнонаказателни </w:t>
            </w: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разпоредби, </w:t>
            </w:r>
            <w:r w:rsidR="00C259F8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произтичащи от уредбата на </w:t>
            </w: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ЕС“</w:t>
            </w:r>
            <w:r w:rsidR="000976F7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  <w:p w14:paraId="3F0224EB" w14:textId="77777777" w:rsidR="00D8584E" w:rsidRPr="003F518A" w:rsidRDefault="00D8584E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Цели се създаване на административнонаказателни разпоредби, които да отразяват възникнали нови основания за търсене на административнонаказателна отговорност, произтичащи от уредбата на ЕС. </w:t>
            </w:r>
          </w:p>
          <w:p w14:paraId="504F2702" w14:textId="77777777" w:rsidR="00446115" w:rsidRPr="003F518A" w:rsidRDefault="00D8584E" w:rsidP="00A13D60">
            <w:pPr>
              <w:pStyle w:val="doc-ti"/>
              <w:shd w:val="clear" w:color="auto" w:fill="FFFFFF"/>
              <w:spacing w:before="0" w:beforeAutospacing="0" w:after="0" w:afterAutospacing="0"/>
              <w:jc w:val="both"/>
              <w:rPr>
                <w:lang w:val="bg-BG"/>
              </w:rPr>
            </w:pPr>
            <w:r w:rsidRPr="003F518A">
              <w:rPr>
                <w:rFonts w:eastAsia="Calibri"/>
                <w:lang w:val="bg-BG"/>
              </w:rPr>
              <w:lastRenderedPageBreak/>
              <w:t>Такава е административнонаказателната разпоредба за неизпълнение в срок на изискванията на задължения, произтичащи от Регламент (ЕС) № 376/2014</w:t>
            </w:r>
            <w:r w:rsidR="00446115" w:rsidRPr="003F518A">
              <w:rPr>
                <w:lang w:val="bg-BG"/>
              </w:rPr>
              <w:t xml:space="preserve"> на Европейския парламент и на Съвета от 3 април 2014 година за докладване, анализ и последващи действия във връзка със събития в гражданското въздухоплаване, за изменение на Регламент (ЕС) № 996/2010 на Европейския парламент и на Съвета и за отмяна на Директива 2003/42/ЕО на Европейския парламент и на Съвета и на регламенти (ЕО) № 1321/2007 и (ЕО) № 1330/2007 на Комисията.</w:t>
            </w:r>
          </w:p>
          <w:p w14:paraId="07985730" w14:textId="77777777" w:rsidR="00D8584E" w:rsidRPr="003F518A" w:rsidRDefault="00D8584E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Такава е и разпоредбата, предвидена по повод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постъпилото допълнително запитване от Европейската комисия в информационна фаза EU Pilot №: 10450/23 за това въведени ли са в националното законодателство санкции във връзка с нарушения на регулаторната рамка за Единното европейско небе.</w:t>
            </w: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14:paraId="7A558FA5" w14:textId="77777777" w:rsidR="000976F7" w:rsidRPr="003F518A" w:rsidRDefault="000976F7" w:rsidP="0009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Такава е и административнонаказателната разпоредба за неизпълнение на изискванията на задълженията, произтичащи от разпоредбите на Регламент (ЕС) </w:t>
            </w:r>
            <w:r w:rsidR="00477FAD"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№ </w:t>
            </w: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2023/2405 на Европейския парламент и на Съвета от 18 октомври 2023 година за осигуряване на еднакви условия на конкуренция за устойчив въздушен транспорт (инициатива ReFuelEU — сектор „Авиация“) за използването на устойчиви авиационни горива (УАГ). </w:t>
            </w:r>
          </w:p>
          <w:p w14:paraId="79BE9AA3" w14:textId="77777777" w:rsidR="001F6D3C" w:rsidRPr="003F518A" w:rsidRDefault="001F6D3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  <w:p w14:paraId="203F55C1" w14:textId="0FCC11C8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bg-BG"/>
              </w:rPr>
            </w:pP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Цел </w:t>
            </w:r>
            <w:r w:rsidR="00F570B2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6</w:t>
            </w:r>
            <w:r w:rsidR="00471748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="00621DB9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„</w:t>
            </w:r>
            <w:r w:rsidR="00EF6A7B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Въвеждане </w:t>
            </w:r>
            <w:r w:rsidR="000976F7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на </w:t>
            </w:r>
            <w:r w:rsidR="000976F7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административнонаказателна разпоредба</w:t>
            </w:r>
            <w:r w:rsidR="00EF6A7B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за подаване на неверни и заблуждаващи съобщения за помощ, следствие от които е проведена операция по търсене и спасяване при авиационни произшествия</w:t>
            </w:r>
            <w:r w:rsidR="00621DB9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“.</w:t>
            </w:r>
          </w:p>
          <w:p w14:paraId="38C98E60" w14:textId="0CCCCB71" w:rsidR="00673D34" w:rsidRPr="003F518A" w:rsidRDefault="002E355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Целта е </w:t>
            </w:r>
            <w:r w:rsidR="00C94BEA"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бъдат сведени до минимум </w:t>
            </w:r>
            <w:r w:rsidR="00EF6A7B" w:rsidRPr="003F518A">
              <w:rPr>
                <w:rFonts w:ascii="Times New Roman" w:hAnsi="Times New Roman"/>
                <w:sz w:val="24"/>
                <w:szCs w:val="24"/>
                <w:lang w:val="bg-BG"/>
              </w:rPr>
              <w:t>възможностите за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F6A7B" w:rsidRPr="003F518A">
              <w:rPr>
                <w:rFonts w:ascii="Times New Roman" w:hAnsi="Times New Roman"/>
                <w:sz w:val="24"/>
                <w:szCs w:val="24"/>
                <w:lang w:val="bg-BG"/>
              </w:rPr>
              <w:t>изпращане на неверни или заблуждаващи съобщения</w:t>
            </w:r>
            <w:r w:rsidR="00D374EF" w:rsidRPr="003F518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EF6A7B"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въз основа на които се провеждат операции по търсене и спасяване при авиационни произшествия. </w:t>
            </w:r>
          </w:p>
          <w:p w14:paraId="2767DABC" w14:textId="77777777" w:rsidR="00EF6A7B" w:rsidRPr="003F518A" w:rsidRDefault="00EF6A7B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  <w:p w14:paraId="563F1A50" w14:textId="21B7CDBD" w:rsidR="00EF6A7B" w:rsidRPr="003F518A" w:rsidRDefault="00EF6A7B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Цел </w:t>
            </w:r>
            <w:r w:rsidR="00F570B2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7</w:t>
            </w: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="00621DB9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„</w:t>
            </w:r>
            <w:r w:rsidR="00056EB5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Преодоляване на рискове от застрашаване безопасността, ефективността и непрекъсваемостта </w:t>
            </w: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на </w:t>
            </w:r>
            <w:r w:rsidR="00056EB5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извършваните от ДП РВД </w:t>
            </w:r>
            <w:r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дейности,  свързани с безопасността на въздухоплаването, с управлението на въздушното пространство и с осигуряването на аеронавигационното обслужване</w:t>
            </w:r>
            <w:r w:rsidR="00621DB9" w:rsidRPr="003F5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“.</w:t>
            </w:r>
          </w:p>
          <w:p w14:paraId="598DD6DE" w14:textId="30FA54F0" w:rsidR="00076E63" w:rsidRPr="003F518A" w:rsidRDefault="00EF6A7B" w:rsidP="00C7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Целта е минимизиране на рисковете от неблагоприятна външна намеса в обектите и съоръженията на ДП РВД, чрез които се осъществяват дейностите, свързани с безопасността на въздухоплаването, с управлението на въздушното пространство и с осигуряването на аеронавигационното обслужване и които са част от критичната инфраструктура на ДП РВД от значение за националната сигурност. </w:t>
            </w:r>
          </w:p>
        </w:tc>
      </w:tr>
      <w:tr w:rsidR="00EF2D9C" w:rsidRPr="003F518A" w14:paraId="1EEA9CA5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0958636A" w14:textId="77777777" w:rsidR="00076E63" w:rsidRPr="003F518A" w:rsidRDefault="00076E63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1.3. </w:t>
            </w:r>
            <w:r w:rsidR="001138D1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арианти за действие:</w:t>
            </w:r>
            <w:r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EF2D9C" w:rsidRPr="003F518A" w14:paraId="31F5AAA8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29883631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1.3.1. По проблем 1:</w:t>
            </w:r>
          </w:p>
          <w:p w14:paraId="6993BDE1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63E856E6" w14:textId="77777777" w:rsidR="000F5DB5" w:rsidRPr="003F518A" w:rsidRDefault="00255A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уредба. Няма да е налице в достатъчна степен обществена информираност за изискванията на приложимата уредба, както и за дейността на субектите, предоставящи авиационни услуги</w:t>
            </w:r>
            <w:r w:rsidR="00C259F8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35AA08D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</w:t>
            </w:r>
            <w:r w:rsidR="00255A1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предлаганите законодателни промени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26CE29C0" w14:textId="77777777" w:rsidR="00255A15" w:rsidRPr="003F518A" w:rsidRDefault="00255A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Ще се постигне съответствие с изискванията на действащата нормативна уредба. Ще се повиши информираността на обществото по приложимата нормативна уредба. Ще се създаде прозрачност за дейността на субектите от авиационната индустрия. Така гражданите и юридическите лица</w:t>
            </w:r>
            <w:r w:rsidR="00446115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ще разполагат с достоверна информация за актуалния статус на субектите, предоставящи услуги по занятие в областта на въздушния транспорт.</w:t>
            </w:r>
          </w:p>
          <w:p w14:paraId="4E246D23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67BAF01" w14:textId="77777777" w:rsidR="000F5DB5" w:rsidRPr="003F518A" w:rsidRDefault="000F5DB5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изследваните варианти, включително алтернативи на предприемането на нормативна промяна.</w:t>
            </w:r>
          </w:p>
        </w:tc>
      </w:tr>
      <w:tr w:rsidR="00EF2D9C" w:rsidRPr="003F518A" w14:paraId="60CD2DC6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7ACB98AA" w14:textId="77777777" w:rsidR="00471748" w:rsidRPr="003F518A" w:rsidRDefault="00471748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----------------------------------------------------------------------------------------------------------------------------</w:t>
            </w:r>
          </w:p>
          <w:p w14:paraId="6FACB99A" w14:textId="442351CB" w:rsidR="00471748" w:rsidRPr="003F518A" w:rsidRDefault="00471748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0592EEC" w14:textId="77777777" w:rsidR="00255A15" w:rsidRPr="003F518A" w:rsidRDefault="00255A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869F5D2" w14:textId="77777777" w:rsidR="00255A15" w:rsidRPr="003F518A" w:rsidRDefault="00255A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със становищата на Европейската комисия по прилагането на уредба</w:t>
            </w:r>
            <w:r w:rsidR="00C259F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ЕС, което е предпоставка за продължаване на процедура за нарушение </w:t>
            </w:r>
            <w:r w:rsidRPr="003F518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№ 2014/4241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спрямо Република България. Ще продължи да съществува </w:t>
            </w:r>
            <w:r w:rsidR="00446115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 от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предприемане на съдебни действия от Европейската комисия пред Съда на Европейския съюз срещу Република България за неспазване на законодателството на ЕС.    </w:t>
            </w:r>
          </w:p>
          <w:p w14:paraId="640823D9" w14:textId="77777777" w:rsidR="00255A15" w:rsidRPr="003F518A" w:rsidRDefault="00255A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„Предприемане на предлаганите законодателни промени“:</w:t>
            </w:r>
          </w:p>
          <w:p w14:paraId="27541C44" w14:textId="77777777" w:rsidR="000F5DB5" w:rsidRPr="003F518A" w:rsidRDefault="00255A15" w:rsidP="0050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постигне съответствие с изискванията на Европейската комисия по прилагането на Директива 2009/12/ЕО относно летищните такси. Ще се предотврати </w:t>
            </w:r>
            <w:r w:rsidR="00446115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риска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започване на съдебни действия срещу Република България от страна на Европейската комисия за неспазване на законодателството на ЕС.</w:t>
            </w:r>
          </w:p>
        </w:tc>
      </w:tr>
      <w:tr w:rsidR="00EF2D9C" w:rsidRPr="003F518A" w14:paraId="39E96844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3A61F34D" w14:textId="6A025ABF" w:rsidR="00321D62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321D62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321D62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5ABF99CD" w14:textId="77777777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037C3C98" w14:textId="77777777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се постигне съответствие с изискванията на действащата нормативна уредба. Ще липсва уредба, която да създаде условия за предприемане на мерки за обезпечаване на киберсигурността в гражданското въздухоплаване. </w:t>
            </w:r>
          </w:p>
          <w:p w14:paraId="502D5501" w14:textId="77777777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 Предприемане на предлаганите законодателни промени“:</w:t>
            </w:r>
          </w:p>
          <w:p w14:paraId="7622F3A2" w14:textId="77777777" w:rsidR="000F5DB5" w:rsidRPr="003F518A" w:rsidRDefault="00321D62" w:rsidP="00A13D6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</w:t>
            </w:r>
            <w:r w:rsidR="00D8584E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ЕС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Ще се постигне гарантиране на предприетите мерки за киберсигурността в гражданското въздухоплаване</w:t>
            </w:r>
            <w:r w:rsidR="00446115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5E979C0" w14:textId="40A35384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8F083CE" w14:textId="77777777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1DFD5380" w14:textId="77777777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се постигне съответствие с изискванията на действащата нормативна уредба на ЕС. </w:t>
            </w:r>
          </w:p>
          <w:p w14:paraId="1A790AED" w14:textId="77777777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Вариант 1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„Предприемане на предлаганите законодателни промени“:</w:t>
            </w:r>
          </w:p>
          <w:p w14:paraId="30A4ED22" w14:textId="77777777" w:rsidR="00321D62" w:rsidRPr="003F518A" w:rsidRDefault="00321D62" w:rsidP="00A13D6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постигне съответствие с изискванията на действащата нормативна уредба на ЕС относно предоставяне на административни услуги, като се конкретизират изрично предоставяните услуги в ГД ГВА. По този начин ще се улесни дейността на субектите в областта на гражданското въздухоплаване, като се създаде изчерпателност на информацията за видовете услуги и съответно видовете административни такси. </w:t>
            </w:r>
          </w:p>
          <w:p w14:paraId="4229EC52" w14:textId="106BDA0A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D5BDDC1" w14:textId="77777777" w:rsidR="00321D62" w:rsidRPr="003F518A" w:rsidRDefault="00321D6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28571865" w14:textId="77777777" w:rsidR="00EC08C1" w:rsidRPr="003F518A" w:rsidRDefault="00EC08C1" w:rsidP="00EC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 на ЕС. Съществува риск от започване на наказателна процедура от Европейската комисия срещу Република България заради липса на въведени санкции  в националната уредба при нарушения на регулаторната рамка за Единното европейско небе и на регулаторната рамка за въвеждане на изискванията относно УАГ.</w:t>
            </w:r>
          </w:p>
          <w:p w14:paraId="304FA805" w14:textId="77777777" w:rsidR="00EC08C1" w:rsidRPr="003F518A" w:rsidRDefault="00EC08C1" w:rsidP="00EC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Вариант 1 „Предприемане на предлаганите законодателни промени“:</w:t>
            </w:r>
          </w:p>
          <w:p w14:paraId="7AED8CAC" w14:textId="77777777" w:rsidR="007A000C" w:rsidRPr="003F518A" w:rsidRDefault="00EC08C1" w:rsidP="00757667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 на ЕС и ще отпадне риска от наказателни процедури, които да бъдат започвани от Европейската комисия.</w:t>
            </w:r>
          </w:p>
          <w:p w14:paraId="3DE6E210" w14:textId="23E03E10" w:rsidR="00987731" w:rsidRPr="003F518A" w:rsidRDefault="00987731" w:rsidP="00757667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определяне механизма за квалифициране на нарушенията</w:t>
            </w:r>
            <w:r w:rsidR="008D0FA2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размера на санкциите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 взети </w:t>
            </w:r>
            <w:r w:rsidR="00757667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предвид 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разпоредбите на </w:t>
            </w:r>
            <w:r w:rsidR="008D0FA2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съответните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регламенти </w:t>
            </w:r>
            <w:r w:rsidR="008D0FA2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№ 376/2014, Регламент за изпълнение (ЕС) 2021/116</w:t>
            </w:r>
            <w:r w:rsidR="008D0FA2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Регламент (ЕС) № 2023/2405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8D0FA2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като </w:t>
            </w:r>
            <w:r w:rsidR="00427D75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предложените 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санкции са ефективни, пропорционални и с възпиращ ефект</w:t>
            </w:r>
            <w:r w:rsidR="008D0FA2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63A9FEB" w14:textId="387F5169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1215B08C" w14:textId="77777777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6522AAD9" w14:textId="60B19B86" w:rsidR="002E3552" w:rsidRPr="003F518A" w:rsidRDefault="002E3552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Няма да 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бъде </w:t>
            </w:r>
            <w:r w:rsidR="00503790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въведен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законов механизъм, който да </w:t>
            </w:r>
            <w:r w:rsidR="00503790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предвижда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санкция за нарушителите</w:t>
            </w:r>
            <w:r w:rsidR="00056EB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съответно 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да </w:t>
            </w:r>
            <w:r w:rsidR="00056EB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има </w:t>
            </w:r>
            <w:r w:rsidR="00503790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възпираща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функция по отношение на лица</w:t>
            </w:r>
            <w:r w:rsidR="00056EB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та,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056EB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които 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изпраща</w:t>
            </w:r>
            <w:r w:rsidR="00056EB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</w:t>
            </w:r>
            <w:r w:rsidR="00D9145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неверни или заблуждаващи сигнали. </w:t>
            </w:r>
            <w:r w:rsidR="007A395E"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7E012550" w14:textId="77777777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Вариант 1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„Предприемане на предлаганите законодателни промени“:</w:t>
            </w:r>
          </w:p>
          <w:p w14:paraId="085620CF" w14:textId="7F7B9FEA" w:rsidR="00757667" w:rsidRPr="003F518A" w:rsidRDefault="00757667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При определяне механизма за квалифициране на нарушението и размера на санкцията </w:t>
            </w:r>
            <w:r w:rsidR="00427D75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 съобразено обстоятелството</w:t>
            </w:r>
            <w:r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че щ</w:t>
            </w:r>
            <w:r w:rsidR="007A395E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</w:t>
            </w:r>
            <w:r w:rsidR="007A395E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A395E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се осигур</w:t>
            </w:r>
            <w:r w:rsidR="002D5F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</w:t>
            </w:r>
            <w:r w:rsidR="007A395E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503790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съответната нормативна</w:t>
            </w:r>
            <w:r w:rsidR="002D5F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основа </w:t>
            </w:r>
            <w:r w:rsidR="007A395E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за </w:t>
            </w:r>
            <w:r w:rsidR="0044513C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санкциониране </w:t>
            </w:r>
            <w:r w:rsidR="002D5F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 нарушителите</w:t>
            </w:r>
            <w:r w:rsidR="00427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</w:t>
            </w:r>
            <w:r w:rsidR="002D5F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като същевременно размерът на предвидената глобата и нейното налагане ще имат превантивна функция</w:t>
            </w:r>
            <w:r w:rsidR="0044513C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възпираща</w:t>
            </w:r>
            <w:r w:rsidR="002D5F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изпращане</w:t>
            </w:r>
            <w:r w:rsidR="0044513C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то</w:t>
            </w:r>
            <w:r w:rsidR="002D5F1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на неверни или заблуждаващи сигнали. Ще бъде сведено до минимум ангажирането на множество държавни органи и организации в системата на търсенето и спасяването по отношение на фалшивите сигнали</w:t>
            </w:r>
            <w:r w:rsidR="0044513C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0B37D525" w14:textId="77777777" w:rsidR="00C94BEA" w:rsidRPr="003F518A" w:rsidRDefault="00C94BEA" w:rsidP="00A13D6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7F8AB87" w14:textId="1FD95F06" w:rsidR="00C94BEA" w:rsidRPr="003F518A" w:rsidRDefault="00C94BEA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19D95800" w14:textId="77777777" w:rsidR="00C94BEA" w:rsidRPr="003F518A" w:rsidRDefault="00C94BEA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4211B883" w14:textId="77777777" w:rsidR="00C94BEA" w:rsidRPr="003F518A" w:rsidRDefault="00C94BEA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Няма да се осигурят условия за избягване на рисковете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неблагоприятна външна намеса в обектите и съоръженията на ДП РВД, чрез които се осъществяват дейностите, 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свързани с безопасността на въздухоплаването, с управлението на въздушното пространство и с осигуряването на аеронавигационното обслужване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и които са част от критичната инфраструктура от значение за националната сигурност.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3CE0627D" w14:textId="77777777" w:rsidR="00C94BEA" w:rsidRPr="003F518A" w:rsidRDefault="00C94BEA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Вариант 1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„Предприемане на предлаганите законодателни промени“:</w:t>
            </w:r>
          </w:p>
          <w:p w14:paraId="072F3AA4" w14:textId="77777777" w:rsidR="000F5DB5" w:rsidRPr="003F518A" w:rsidRDefault="00C94BEA" w:rsidP="00EC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Ще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се осигурят условия за избягване на рисковете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неблагоприятна външна намеса в обектите и съоръженията на ДП РВД, чрез които се осъществяват дейностите, 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свързани с безопасността на въздухоплаването, с управлението на въздушното пространство и с осигуряването на аеронавигационното обслужване,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които са част от критичната инфраструктура от значение за националната сигурност.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EF2D9C" w:rsidRPr="003F518A" w14:paraId="3E12C6AC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D9D9D9"/>
            <w:tcMar>
              <w:top w:w="60" w:type="dxa"/>
              <w:bottom w:w="0" w:type="dxa"/>
            </w:tcMar>
          </w:tcPr>
          <w:p w14:paraId="4A51C581" w14:textId="77777777" w:rsidR="00076E63" w:rsidRPr="003F518A" w:rsidRDefault="00076E63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 Препоръчителен вариант</w:t>
            </w:r>
          </w:p>
        </w:tc>
      </w:tr>
      <w:tr w:rsidR="00EF2D9C" w:rsidRPr="003F518A" w14:paraId="1F797CEE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715C8208" w14:textId="0A52639A" w:rsidR="00076E63" w:rsidRPr="003F518A" w:rsidRDefault="000A1BC7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2.1. По проблем 1:</w:t>
            </w:r>
          </w:p>
          <w:p w14:paraId="04F56D0A" w14:textId="0F211964" w:rsidR="00076E63" w:rsidRPr="003F518A" w:rsidRDefault="00076E63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</w:t>
            </w:r>
            <w:r w:rsidR="00321D62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Предприемане на предлаганите законодателни промени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5664BD1F" w14:textId="0801E060" w:rsidR="00076E63" w:rsidRPr="003F518A" w:rsidRDefault="00076E63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71B839B5" w14:textId="075481EC" w:rsidR="00076E63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създадат законови основания за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изрично посочване в закона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съществуващите регистри, водени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ГД ГВА .</w:t>
            </w:r>
          </w:p>
          <w:p w14:paraId="438AC0BA" w14:textId="45F9FDBA" w:rsidR="00076E63" w:rsidRPr="003F518A" w:rsidRDefault="00076E63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(икономически/социални/икономически) въздействия в тригодишна перспектива:</w:t>
            </w:r>
          </w:p>
          <w:p w14:paraId="3D106FAB" w14:textId="1CEC2BC8" w:rsidR="00076E63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постигне съответствие с изискванията на действащата нормативна уредба – </w:t>
            </w: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ЗОАРАКСД и </w:t>
            </w:r>
            <w:r w:rsidR="005C7418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Решение № 298 на Министерския съвет от 2 април 2021  г., с което е приета актуализирана стратегия за развитие на електронното управление в Република България 2019-2025 г., Приложение № 2 към която е Концепцията за регистрова реформа.</w:t>
            </w:r>
            <w:r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Ще се постигне по-голяма информираност на гражданите за действащите регистри, водени от ГД ГВА.</w:t>
            </w:r>
          </w:p>
          <w:p w14:paraId="3A98D3A1" w14:textId="779D0E1F" w:rsidR="00076E63" w:rsidRPr="003F518A" w:rsidRDefault="00076E63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(икономически/социални/икономически) въздействия в тригодишна перспектива:</w:t>
            </w:r>
          </w:p>
          <w:p w14:paraId="13FB9F88" w14:textId="11963015" w:rsidR="00076E63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723E84B" w14:textId="49506EE5" w:rsidR="00076E63" w:rsidRPr="003F518A" w:rsidRDefault="00076E63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 в тригодишна перспектива:</w:t>
            </w:r>
          </w:p>
          <w:p w14:paraId="77934E73" w14:textId="00A9ADAB" w:rsidR="00076E63" w:rsidRPr="003F518A" w:rsidRDefault="00076E63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69357D5F" w14:textId="0A9DF0A5" w:rsidR="00076E63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повиши тяхната информираност за действащата уредба – водените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ГД ГВА регистри. Няма  </w:t>
            </w:r>
            <w:r w:rsidRPr="003F5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микро-, малки или средни предприятия, които са изключени от новите правила, въведени с предложението</w:t>
            </w:r>
            <w:r w:rsidR="00446115" w:rsidRPr="003F5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.</w:t>
            </w:r>
          </w:p>
          <w:p w14:paraId="44179F6C" w14:textId="0781F31F" w:rsidR="00076E63" w:rsidRPr="003F518A" w:rsidRDefault="00076E63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594BBA04" w14:textId="0CD26C7E" w:rsidR="00076E63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 нова административна тежест. Не се създават нови регулаторни режими и регистри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Посочват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единствено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съществуващите и водени понастоящем. Предложението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съобразено с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минималните изисквания за административна тежест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ЕС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не ги </w:t>
            </w:r>
            <w:r w:rsidR="005C7418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надхвърля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  </w:t>
            </w:r>
          </w:p>
          <w:p w14:paraId="492C05BE" w14:textId="7F98D119" w:rsidR="000A1BC7" w:rsidRPr="003F518A" w:rsidRDefault="000A1BC7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8E51F25" w14:textId="59804457" w:rsidR="000A1BC7" w:rsidRPr="003F518A" w:rsidRDefault="000A1BC7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Потенциални рискове от прилагането на препоръчителния вариант:</w:t>
            </w:r>
          </w:p>
          <w:p w14:paraId="48E88F1B" w14:textId="0BD9F731" w:rsidR="000A1BC7" w:rsidRPr="003F518A" w:rsidRDefault="009E18EC" w:rsidP="00A13D6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</w:t>
            </w:r>
            <w:r w:rsidR="000A1BC7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E8A01F2" w14:textId="77777777" w:rsidR="000A1BC7" w:rsidRPr="003F518A" w:rsidRDefault="000A1BC7" w:rsidP="00A1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F2D9C" w:rsidRPr="003F518A" w14:paraId="28C17968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12BA6C0A" w14:textId="6B3330D4" w:rsidR="000A1BC7" w:rsidRPr="003F518A" w:rsidRDefault="000A1BC7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14CF6A3E" w14:textId="77777777" w:rsidR="009E18EC" w:rsidRPr="003F518A" w:rsidRDefault="009E18EC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„Предприемане на предлаганите законодателни промени“</w:t>
            </w:r>
            <w:r w:rsidR="0052318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742B7F3F" w14:textId="77777777" w:rsidR="009E18EC" w:rsidRPr="003F518A" w:rsidRDefault="009E18EC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43BD92F7" w14:textId="77777777" w:rsidR="009E18EC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Промяна в уредбата, която да даде основание за прекратяване на </w:t>
            </w:r>
            <w:r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процедура за нарушение (infringement) № 2014/4241</w:t>
            </w:r>
            <w:r w:rsidR="00446115" w:rsidRPr="003F518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от ЕК.</w:t>
            </w:r>
          </w:p>
          <w:p w14:paraId="5ABBE9F7" w14:textId="77777777" w:rsidR="009E18EC" w:rsidRPr="003F518A" w:rsidRDefault="009E18E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(икономически/социални/икономически) въздействия в тригодишна перспектива:</w:t>
            </w:r>
          </w:p>
          <w:p w14:paraId="760B9992" w14:textId="77777777" w:rsidR="009E18EC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създаде предвидимост в дейността на ползвателите на летищни услуги на Летище София</w:t>
            </w:r>
          </w:p>
          <w:p w14:paraId="360F6502" w14:textId="77777777" w:rsidR="009E18EC" w:rsidRPr="003F518A" w:rsidRDefault="009E18E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(икономически/социални/икономически) въздействия в тригодишна перспектива:</w:t>
            </w:r>
          </w:p>
          <w:p w14:paraId="07A2D805" w14:textId="77777777" w:rsidR="009E18EC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</w:t>
            </w:r>
          </w:p>
          <w:p w14:paraId="0D45E693" w14:textId="77777777" w:rsidR="009E18EC" w:rsidRPr="003F518A" w:rsidRDefault="009E18E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 в тригодишна перспектива:</w:t>
            </w:r>
          </w:p>
          <w:p w14:paraId="4DAB5611" w14:textId="77777777" w:rsidR="009E18EC" w:rsidRPr="003F518A" w:rsidRDefault="009E18EC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41119AA6" w14:textId="77777777" w:rsidR="009E18EC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повиши тяхната информираност за действащата уредба –</w:t>
            </w:r>
            <w:r w:rsidR="009879CF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правото на обжалване на решенията на Летище София.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 </w:t>
            </w:r>
            <w:r w:rsidRPr="003F51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микро-, малки или средни предприятия, които са изключени от новите правила, въведени с предложението</w:t>
            </w:r>
          </w:p>
          <w:p w14:paraId="5B66AF4A" w14:textId="77777777" w:rsidR="009E18EC" w:rsidRPr="003F518A" w:rsidRDefault="009E18EC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0D5F93AF" w14:textId="77777777" w:rsidR="009E18EC" w:rsidRPr="003F518A" w:rsidRDefault="009E18E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предвижда нова административна тежест. Не се създават нови регулаторни режими и регистри. </w:t>
            </w:r>
            <w:r w:rsidR="004734E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Предложението е съобразено с  минималните изисквания за административна тежест на ЕС и не ги надхвърля.   </w:t>
            </w:r>
          </w:p>
          <w:p w14:paraId="26B16656" w14:textId="77777777" w:rsidR="009E18EC" w:rsidRPr="003F518A" w:rsidRDefault="009E18E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Потенциални рискове от прилагането на препоръчителния вариант:</w:t>
            </w:r>
          </w:p>
          <w:p w14:paraId="7EAFA8D6" w14:textId="77777777" w:rsidR="009E18EC" w:rsidRPr="003F518A" w:rsidRDefault="009E18E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33ED1167" w14:textId="77777777" w:rsidR="00076E63" w:rsidRPr="003F518A" w:rsidRDefault="00076E63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F2D9C" w:rsidRPr="003F518A" w14:paraId="4E55D046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215B4E38" w14:textId="655155DA" w:rsidR="000A1BC7" w:rsidRPr="003F518A" w:rsidRDefault="000A1BC7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6D4801A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„Предприемане на предлаганите законодателни промени“</w:t>
            </w:r>
            <w:r w:rsidR="0052318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61434367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6C7DBE13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Създаване на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редба относно киберсигурността в гражданското въздухоплаване</w:t>
            </w:r>
            <w:r w:rsidR="004734E9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EF1E22E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(икономически/социални/икономически) въздействия в тригодишна перспектива:</w:t>
            </w:r>
          </w:p>
          <w:p w14:paraId="107EBB2E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създаде основание за повишаване нивото на 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киберсигурността в гражданското въздухоплаване</w:t>
            </w:r>
          </w:p>
          <w:p w14:paraId="68DF9D97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(икономически/социални/икономически) въздействия в тригодишна перспектива:</w:t>
            </w:r>
          </w:p>
          <w:p w14:paraId="65AD8770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</w:t>
            </w:r>
            <w:r w:rsidR="00AA386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D31CEDE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 в тригодишна перспектива:</w:t>
            </w:r>
          </w:p>
          <w:p w14:paraId="0ADA0C2B" w14:textId="77777777" w:rsidR="009879CF" w:rsidRPr="003F518A" w:rsidRDefault="009879CF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6A118836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повиши нивото на 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киберсигурността в гражданското въздухоплаване</w:t>
            </w:r>
            <w:r w:rsidR="00D8584E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което ще се отрази положително на тяхната дейност</w:t>
            </w:r>
            <w:r w:rsidR="00682289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М</w:t>
            </w:r>
            <w:r w:rsidR="0068228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икро-, малки или средни предприятия не са изключени от новите правила, въведени с предложението.</w:t>
            </w:r>
          </w:p>
          <w:p w14:paraId="3DA38178" w14:textId="77777777" w:rsidR="009879CF" w:rsidRPr="003F518A" w:rsidRDefault="009879CF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44AAAA1E" w14:textId="77777777" w:rsidR="004734E9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предвижда нова административна тежест. Не се създават нови регулаторни режими и регистри. </w:t>
            </w:r>
            <w:r w:rsidR="004734E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Предложението е съобразено с  минималните изисквания за административна тежест на ЕС и не ги надхвърля.   </w:t>
            </w:r>
          </w:p>
          <w:p w14:paraId="624D0C59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Потенциални рискове от прилагането на препоръчителния вариант:</w:t>
            </w:r>
          </w:p>
          <w:p w14:paraId="40DFAF2A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604FA942" w14:textId="77777777" w:rsidR="009879CF" w:rsidRPr="003F518A" w:rsidRDefault="009879CF" w:rsidP="00A13D6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B1D425C" w14:textId="4011D785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C87A726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„Предприемане на предлаганите законодателни промени“</w:t>
            </w:r>
            <w:r w:rsidR="0052318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5B245404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1BB7F6EC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Създаване на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4734E9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основание за събиране на 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такси за административни услуги, извъ</w:t>
            </w:r>
            <w:r w:rsidR="009A34E4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швани от ГД ГВА</w:t>
            </w:r>
            <w:r w:rsidR="009A34E4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B886A90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(икономически/социални/икономически) въздействия в тригодишна перспектива:</w:t>
            </w:r>
          </w:p>
          <w:p w14:paraId="3B6D044F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постигне съответствие с изискванията на действащата нормативна уредба на ЕС относно предоставяне на административни услуги, като се конкретизират изрично предоставяните услуги в ГД ГВА. По този начин ще се улесни дейността на субектите в областта на гражданското въздухоплаване, като се създаде изчерпателност на информацията за видовете услуги и съответно видовете административни такси. </w:t>
            </w:r>
          </w:p>
          <w:p w14:paraId="604B170D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(икономически/социални/икономически) въздействия в тригодишна перспектива:</w:t>
            </w:r>
          </w:p>
          <w:p w14:paraId="3BC02B15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</w:t>
            </w:r>
            <w:r w:rsidR="00AA386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641AAE8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 в тригодишна перспектива:</w:t>
            </w:r>
          </w:p>
          <w:p w14:paraId="30465DCC" w14:textId="77777777" w:rsidR="009879CF" w:rsidRPr="003F518A" w:rsidRDefault="009879CF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16893AF2" w14:textId="77777777" w:rsidR="00682289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създадат основания за събиране на такси за вече извършвани административни услуги, за които понастоящем не се събират такси. </w:t>
            </w:r>
            <w:r w:rsidR="00682289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="0068228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икро-, малки или средни предприятия не са изключени от новите правила, въведени с предложението.</w:t>
            </w:r>
          </w:p>
          <w:p w14:paraId="29A7159B" w14:textId="77777777" w:rsidR="009879CF" w:rsidRPr="003F518A" w:rsidRDefault="009879CF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424560CD" w14:textId="578B74E1" w:rsidR="00891678" w:rsidRPr="006A041E" w:rsidRDefault="009879CF" w:rsidP="00891678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предвижда нова административна тежест. Не се създават нови регулаторни режими и регистри. </w:t>
            </w:r>
            <w:r w:rsidR="004734E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Предложението е съобразено с  минималните изисквания за административна тежест на ЕС и не ги </w:t>
            </w:r>
            <w:r w:rsidR="004734E9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надхвърля. </w:t>
            </w:r>
            <w:r w:rsidR="003B7CF5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3B7CF5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се въвеждат такси за услуги, различни от предвидените в уредбата на ЕС</w:t>
            </w:r>
            <w:r w:rsidR="00891678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891678"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като </w:t>
            </w:r>
            <w:r w:rsidR="00427D75"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>таксите</w:t>
            </w:r>
            <w:r w:rsidR="00891678" w:rsidRPr="006A041E">
              <w:rPr>
                <w:rFonts w:ascii="Times New Roman" w:hAnsi="Times New Roman"/>
                <w:spacing w:val="-4"/>
                <w:sz w:val="24"/>
                <w:szCs w:val="24"/>
                <w:lang w:val="bg-BG"/>
              </w:rPr>
              <w:t xml:space="preserve"> са съобразени с Методиката за определяне на разходоориентиран размер на таксите по чл. 7а от </w:t>
            </w:r>
            <w:r w:rsidR="00891678" w:rsidRPr="006A0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ЗОАРАКСД.</w:t>
            </w:r>
          </w:p>
          <w:p w14:paraId="085B2C92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Потенциални рискове от прилагането на препоръчителния вариант:</w:t>
            </w:r>
          </w:p>
          <w:p w14:paraId="2CC99B9B" w14:textId="77777777" w:rsidR="004734E9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4D63567C" w14:textId="77777777" w:rsidR="009879CF" w:rsidRPr="003F518A" w:rsidRDefault="009879CF" w:rsidP="00A13D6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6F9B054" w14:textId="354E93E1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63EE8C30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„Предприемане на предлаганите законодателни промени“</w:t>
            </w:r>
            <w:r w:rsidR="0052318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5184E913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72EE5D5C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по-високо ниво на безопасност и сигурност при осъществяване на дейностите в гражданското въздухоплаване</w:t>
            </w:r>
            <w:r w:rsidR="00523187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D807BFF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(икономически/социални/икономически) въздействия в тригодишна перспектива:</w:t>
            </w:r>
          </w:p>
          <w:p w14:paraId="0521BCEF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Ще е налице уредба, съдържаща гаранции за безопасното функциониране на авиационната индустрия</w:t>
            </w:r>
            <w:r w:rsidR="00AA3869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7A59C163" w14:textId="77777777" w:rsidR="009879CF" w:rsidRPr="003F518A" w:rsidRDefault="009879CF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(икономически/социални/икономически) въздействия в тригодишна перспектива:</w:t>
            </w:r>
          </w:p>
          <w:p w14:paraId="605CE561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</w:t>
            </w:r>
            <w:r w:rsidR="00AA386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6D8A229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 в тригодишна перспектива:</w:t>
            </w:r>
          </w:p>
          <w:p w14:paraId="1FD1FCA0" w14:textId="77777777" w:rsidR="009879CF" w:rsidRPr="003F518A" w:rsidRDefault="009879CF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55D55805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Положително въздействие – ще се </w:t>
            </w:r>
            <w:r w:rsidR="00FF27F7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повиши нивото на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сигурността и безопасността в дейността на авиационната индустрия, като се създаде превенция </w:t>
            </w:r>
            <w:r w:rsidR="00D158A3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противоправно поведение на участниците в авиационните дейности</w:t>
            </w:r>
            <w:r w:rsidR="0068228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682289" w:rsidRPr="003F51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</w:t>
            </w:r>
            <w:r w:rsidR="00682289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икро-, малки или средни предприятия не са изключени от новите правила, въведени с предложението.</w:t>
            </w:r>
          </w:p>
          <w:p w14:paraId="749EA61C" w14:textId="77777777" w:rsidR="009879CF" w:rsidRPr="003F518A" w:rsidRDefault="009879CF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692E5697" w14:textId="566044FD" w:rsidR="003B7CF5" w:rsidRPr="003F518A" w:rsidRDefault="009879CF" w:rsidP="00891678">
            <w:pPr>
              <w:pStyle w:val="title-doc-first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i/>
                <w:lang w:val="bg-BG"/>
              </w:rPr>
            </w:pPr>
            <w:r w:rsidRPr="003F518A">
              <w:rPr>
                <w:lang w:val="bg-BG"/>
              </w:rPr>
              <w:t xml:space="preserve">Не се предвижда нова административна тежест. Не се създават нови регулаторни режими и регистри. </w:t>
            </w:r>
            <w:r w:rsidR="004734E9" w:rsidRPr="006A041E">
              <w:rPr>
                <w:lang w:val="bg-BG"/>
              </w:rPr>
              <w:t>Предложението е съобразено с  минималните изисквания за административна тежест на ЕС и не ги надхвърля.</w:t>
            </w:r>
            <w:r w:rsidR="00891678" w:rsidRPr="006A041E">
              <w:rPr>
                <w:lang w:val="bg-BG"/>
              </w:rPr>
              <w:t xml:space="preserve"> Санкциите следва да са  „ефективни, пропорционални и с възпиращ ефект“. Определянето на административните нарушения </w:t>
            </w:r>
            <w:r w:rsidR="00427D75" w:rsidRPr="006A041E">
              <w:rPr>
                <w:lang w:val="bg-BG"/>
              </w:rPr>
              <w:t xml:space="preserve">произтича </w:t>
            </w:r>
            <w:r w:rsidR="00891678" w:rsidRPr="006A041E">
              <w:rPr>
                <w:lang w:val="bg-BG"/>
              </w:rPr>
              <w:t>от съдържащи се нормативни предпоставки в конкретни разпоредби в цитираните регламенти. Те не са произволно определени. Размерите на глобите и имуществените санкции са съобразени с икономическите възможности на адресатите на разпоредбите. В този смисъл те са пропорционални и с възпиращ ефект. Гражданите и икономическите оператори като правнозадължени лица следва да изпълняват правнодължимо поведение</w:t>
            </w:r>
            <w:r w:rsidR="00427D75" w:rsidRPr="006A041E">
              <w:rPr>
                <w:lang w:val="bg-BG"/>
              </w:rPr>
              <w:t>,</w:t>
            </w:r>
            <w:r w:rsidR="00891678" w:rsidRPr="006A041E">
              <w:rPr>
                <w:lang w:val="bg-BG"/>
              </w:rPr>
              <w:t xml:space="preserve"> като съобразяват повелителните разпоредби на регламентите. Размерите на глобите и имуществените санкции са съобразени с тежестта на нарушенията.</w:t>
            </w:r>
          </w:p>
          <w:p w14:paraId="054CDE03" w14:textId="77777777" w:rsidR="009879CF" w:rsidRPr="003F518A" w:rsidRDefault="009879CF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Потенциални рискове от прилагането на препоръчителния вариант:</w:t>
            </w:r>
          </w:p>
          <w:p w14:paraId="70EDBB1B" w14:textId="77777777" w:rsidR="009879CF" w:rsidRPr="003F518A" w:rsidRDefault="009879CF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6B2FE67A" w14:textId="77777777" w:rsidR="007A000C" w:rsidRPr="003F518A" w:rsidRDefault="007A000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-------------------------------------------------------------------------------------------------------------------------</w:t>
            </w:r>
          </w:p>
          <w:p w14:paraId="27A9D746" w14:textId="6C033782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6</w:t>
            </w: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6</w:t>
            </w: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14:paraId="39B46322" w14:textId="77777777" w:rsidR="007A000C" w:rsidRPr="003F518A" w:rsidRDefault="007A000C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„Предприемане на предлаганите законодателни промени“</w:t>
            </w:r>
            <w:r w:rsidR="0052318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584BECDC" w14:textId="77777777" w:rsidR="007A06E5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7A06E5"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73CAA822" w14:textId="77777777" w:rsidR="002D5F15" w:rsidRPr="003F518A" w:rsidRDefault="002D5F15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по-високо ниво на безопасност и сигурност при осъществяване на дейностите по търсене и спасяване при авиационни произшествия.</w:t>
            </w:r>
          </w:p>
          <w:p w14:paraId="40A115FD" w14:textId="77777777" w:rsidR="007A000C" w:rsidRPr="003F518A" w:rsidRDefault="007A000C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(икономически/социални/икономически) въздействия в тригодишна перспектива:</w:t>
            </w:r>
          </w:p>
          <w:p w14:paraId="7ED56BA4" w14:textId="52756831" w:rsidR="002D5F15" w:rsidRPr="003F518A" w:rsidRDefault="002D5F15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Ще е налице правна уредба, съдържаща гаранции за безопасното функциониране на дейностите, свързани с търсене и спасяване.</w:t>
            </w:r>
          </w:p>
          <w:p w14:paraId="5C8F5F86" w14:textId="77777777" w:rsidR="007A000C" w:rsidRPr="003F518A" w:rsidRDefault="007A000C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(икономически/социални/икономически) въздействия в тригодишна перспектива:</w:t>
            </w:r>
          </w:p>
          <w:p w14:paraId="035075B8" w14:textId="77777777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40C0C5BF" w14:textId="77777777" w:rsidR="007A000C" w:rsidRPr="003F518A" w:rsidRDefault="007A000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 в тригодишна перспектива:</w:t>
            </w:r>
          </w:p>
          <w:p w14:paraId="3E6F092E" w14:textId="77777777" w:rsidR="007A000C" w:rsidRPr="003F518A" w:rsidRDefault="007A000C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44BFFD8E" w14:textId="77777777" w:rsidR="007A000C" w:rsidRPr="003F518A" w:rsidRDefault="007A000C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146F143E" w14:textId="6DFE3334" w:rsidR="007A000C" w:rsidRPr="006A041E" w:rsidRDefault="007A000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предвижда нова </w:t>
            </w:r>
            <w:r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административна тежест. Не се създават нови регулаторни режими и регистри. Предложението е съобразено с  минималните изисквания за административна тежест на ЕС и не ги надхвърля.</w:t>
            </w:r>
            <w:r w:rsidR="003F518A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bookmarkStart w:id="4" w:name="_Hlk177131480"/>
            <w:r w:rsidR="003B7CF5" w:rsidRPr="006A04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3B7CF5" w:rsidRPr="006A041E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 xml:space="preserve">азмерите на глобите и имуществените санкции са съобразени с икономическите възможности на адресатите на разпоредбите </w:t>
            </w:r>
            <w:r w:rsidR="003B7CF5" w:rsidRPr="006A041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3B7CF5" w:rsidRPr="006A041E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>с тежестта на нарушенията</w:t>
            </w:r>
            <w:r w:rsidR="003B7CF5" w:rsidRPr="006A041E">
              <w:rPr>
                <w:rFonts w:ascii="Times New Roman" w:hAnsi="Times New Roman" w:cs="Times New Roman"/>
                <w:i/>
                <w:sz w:val="24"/>
                <w:szCs w:val="24"/>
                <w:lang w:val="bg-BG" w:eastAsia="zh-CN"/>
              </w:rPr>
              <w:t>.</w:t>
            </w:r>
            <w:bookmarkEnd w:id="4"/>
          </w:p>
          <w:p w14:paraId="04685855" w14:textId="77777777" w:rsidR="007A000C" w:rsidRPr="003F518A" w:rsidRDefault="007A000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Потенциални рискове от прилагането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препоръчителния вариант:</w:t>
            </w:r>
          </w:p>
          <w:p w14:paraId="32116522" w14:textId="77777777" w:rsidR="007A000C" w:rsidRPr="003F518A" w:rsidRDefault="007A000C" w:rsidP="00A13D6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6061A24A" w14:textId="765007E2" w:rsidR="002D5F15" w:rsidRPr="003F518A" w:rsidRDefault="002D5F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2.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7</w:t>
            </w: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. По проблем </w:t>
            </w:r>
            <w:r w:rsidR="00141A44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7</w:t>
            </w: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14:paraId="1C9BE207" w14:textId="77777777" w:rsidR="002D5F15" w:rsidRPr="003F518A" w:rsidRDefault="002D5F15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„Предприемане на предлаганите законодателни промени “</w:t>
            </w:r>
            <w:r w:rsidR="0052318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233AE4A9" w14:textId="77777777" w:rsidR="002D5F15" w:rsidRPr="003F518A" w:rsidRDefault="002D5F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2562F120" w14:textId="77777777" w:rsidR="002D5F15" w:rsidRPr="003F518A" w:rsidRDefault="002D5F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Ще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се осигурят условия за избягване на рисковете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неблагоприятна външна намеса в обектите и съоръженията на ДП РВД, чрез които се осъществяват дейностите, 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свързани с безопасността на въздухоплаването, с управлението на въздушното пространство и с осигуряването на аеронавигационното обслужване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които са част от критичната инфраструктура от значение за националната сигурност.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5FC92846" w14:textId="77777777" w:rsidR="002D5F15" w:rsidRPr="003F518A" w:rsidRDefault="002D5F15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(икономически/социални/икономически) въздействия в тригодишна перспектива:</w:t>
            </w:r>
          </w:p>
          <w:p w14:paraId="431AE27E" w14:textId="77777777" w:rsidR="002D5F15" w:rsidRPr="003F518A" w:rsidRDefault="002D5F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Ще се създадат законови гаранции за безпрепятстваното функционирането на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обектите и съоръженията на ДП РВД, чрез които се осъществяват дейностите, </w:t>
            </w:r>
            <w:r w:rsidRPr="003F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свързани с безопасността на въздухоплаването, с управлението на въздушното пространство и с осигуряването на аеронавигационното обслужване</w:t>
            </w:r>
            <w:r w:rsidRPr="003F51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и които са част от критичната инфраструктура от значение за националната сигурност. 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796FC62D" w14:textId="77777777" w:rsidR="002D5F15" w:rsidRPr="003F518A" w:rsidRDefault="002D5F15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(икономически/социални/икономически) въздействия в тригодишна перспектива:</w:t>
            </w:r>
          </w:p>
          <w:p w14:paraId="50129459" w14:textId="77777777" w:rsidR="002D5F15" w:rsidRPr="003F518A" w:rsidRDefault="002D5F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73D1F8AA" w14:textId="77777777" w:rsidR="002D5F15" w:rsidRPr="003F518A" w:rsidRDefault="002D5F15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 в тригодишна перспектива:</w:t>
            </w:r>
          </w:p>
          <w:p w14:paraId="593D85E5" w14:textId="77777777" w:rsidR="002D5F15" w:rsidRPr="003F518A" w:rsidRDefault="002D5F15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28469103" w14:textId="77777777" w:rsidR="002D5F15" w:rsidRPr="003F518A" w:rsidRDefault="002D5F15" w:rsidP="00A13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3635EC5E" w14:textId="77777777" w:rsidR="002D5F15" w:rsidRPr="003F518A" w:rsidRDefault="002D5F15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предвижда нова административна тежест. Не се създават нови регулаторни режими и регистри. Предложението е съобразено с  минималните изисквания за административна тежест на ЕС и не ги надхвърля.   </w:t>
            </w:r>
          </w:p>
          <w:p w14:paraId="4DB9A88A" w14:textId="77777777" w:rsidR="002D5F15" w:rsidRPr="003F518A" w:rsidRDefault="002D5F15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Потенциални рискове от прилагането на препоръчителния вариант:</w:t>
            </w:r>
          </w:p>
          <w:p w14:paraId="6683A087" w14:textId="77777777" w:rsidR="002D5F15" w:rsidRPr="003F518A" w:rsidRDefault="002D5F15" w:rsidP="00A13D6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предвиждат.</w:t>
            </w:r>
          </w:p>
          <w:p w14:paraId="62B2588C" w14:textId="77777777" w:rsidR="002D5F15" w:rsidRPr="003F518A" w:rsidRDefault="002D5F15" w:rsidP="00A13D60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EFBD636" w14:textId="77777777" w:rsidR="007A000C" w:rsidRPr="003F518A" w:rsidRDefault="007A000C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F2D9C" w:rsidRPr="003F518A" w14:paraId="776BBCB7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D9D9D9"/>
            <w:tcMar>
              <w:top w:w="60" w:type="dxa"/>
              <w:bottom w:w="0" w:type="dxa"/>
            </w:tcMar>
          </w:tcPr>
          <w:p w14:paraId="4D23F49B" w14:textId="77777777" w:rsidR="00076E63" w:rsidRPr="003F518A" w:rsidRDefault="00076E63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9B13A5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Разходи и ползи от варианти</w:t>
            </w:r>
            <w:r w:rsidR="001138D1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 за действие</w:t>
            </w:r>
          </w:p>
        </w:tc>
      </w:tr>
      <w:tr w:rsidR="00EF2D9C" w:rsidRPr="003F518A" w14:paraId="097D6C1E" w14:textId="77777777" w:rsidTr="00C93DF1">
        <w:trPr>
          <w:trHeight w:val="60"/>
        </w:trPr>
        <w:tc>
          <w:tcPr>
            <w:tcW w:w="10065" w:type="dxa"/>
            <w:gridSpan w:val="4"/>
            <w:shd w:val="clear" w:color="auto" w:fill="FFFFFF"/>
            <w:vAlign w:val="center"/>
          </w:tcPr>
          <w:p w14:paraId="7B33B396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3.1. По проблем 1:</w:t>
            </w:r>
          </w:p>
        </w:tc>
      </w:tr>
      <w:tr w:rsidR="00EF2D9C" w:rsidRPr="003F518A" w14:paraId="2C93D4F4" w14:textId="77777777" w:rsidTr="009B13A5">
        <w:trPr>
          <w:trHeight w:val="60"/>
        </w:trPr>
        <w:tc>
          <w:tcPr>
            <w:tcW w:w="3253" w:type="dxa"/>
            <w:shd w:val="clear" w:color="auto" w:fill="FFFFFF"/>
            <w:vAlign w:val="center"/>
          </w:tcPr>
          <w:p w14:paraId="2BA980A9" w14:textId="77777777" w:rsidR="009B13A5" w:rsidRPr="003F518A" w:rsidRDefault="009B13A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Варианти за действие:</w:t>
            </w:r>
          </w:p>
        </w:tc>
        <w:tc>
          <w:tcPr>
            <w:tcW w:w="3468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20B98AFE" w14:textId="77777777" w:rsidR="009B13A5" w:rsidRPr="003F518A" w:rsidRDefault="009B13A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 годишни разходи</w:t>
            </w:r>
          </w:p>
        </w:tc>
        <w:tc>
          <w:tcPr>
            <w:tcW w:w="3344" w:type="dxa"/>
            <w:shd w:val="clear" w:color="auto" w:fill="FFFFFF"/>
            <w:vAlign w:val="center"/>
          </w:tcPr>
          <w:p w14:paraId="09160393" w14:textId="77777777" w:rsidR="009B13A5" w:rsidRPr="003F518A" w:rsidRDefault="009B13A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 годишни ползи</w:t>
            </w:r>
          </w:p>
        </w:tc>
      </w:tr>
      <w:tr w:rsidR="00EF2D9C" w:rsidRPr="003F518A" w14:paraId="52D6AC84" w14:textId="77777777" w:rsidTr="00076E63">
        <w:trPr>
          <w:trHeight w:val="60"/>
        </w:trPr>
        <w:tc>
          <w:tcPr>
            <w:tcW w:w="3253" w:type="dxa"/>
            <w:shd w:val="clear" w:color="auto" w:fill="FFFFFF"/>
            <w:vAlign w:val="center"/>
          </w:tcPr>
          <w:p w14:paraId="3E5D511C" w14:textId="77777777" w:rsidR="00076E63" w:rsidRPr="003F518A" w:rsidRDefault="009B13A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</w:t>
            </w:r>
            <w:r w:rsidR="00FF7077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поръчителен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вариант: Вариант  „</w:t>
            </w:r>
            <w:r w:rsidR="00CC1F0D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предлаганите законодателни промени “</w:t>
            </w:r>
          </w:p>
        </w:tc>
        <w:tc>
          <w:tcPr>
            <w:tcW w:w="3468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1CFD690E" w14:textId="77777777" w:rsidR="00076E63" w:rsidRPr="003F518A" w:rsidRDefault="00CC1F0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рамките на бюджетните разходи</w:t>
            </w:r>
          </w:p>
        </w:tc>
        <w:tc>
          <w:tcPr>
            <w:tcW w:w="3344" w:type="dxa"/>
            <w:shd w:val="clear" w:color="auto" w:fill="FFFFFF"/>
            <w:vAlign w:val="center"/>
          </w:tcPr>
          <w:p w14:paraId="40B3F54F" w14:textId="77777777" w:rsidR="00076E63" w:rsidRPr="003F518A" w:rsidRDefault="00CC1F0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рамките на бюджетните приходи</w:t>
            </w:r>
          </w:p>
        </w:tc>
      </w:tr>
      <w:tr w:rsidR="00EF2D9C" w:rsidRPr="003F518A" w14:paraId="1ED785B6" w14:textId="77777777" w:rsidTr="00076E63">
        <w:trPr>
          <w:trHeight w:val="60"/>
        </w:trPr>
        <w:tc>
          <w:tcPr>
            <w:tcW w:w="3253" w:type="dxa"/>
            <w:shd w:val="clear" w:color="auto" w:fill="FFFFFF"/>
          </w:tcPr>
          <w:p w14:paraId="10A53579" w14:textId="77777777" w:rsidR="00076E63" w:rsidRPr="003F518A" w:rsidRDefault="00076E63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12" w:type="dxa"/>
            <w:gridSpan w:val="3"/>
            <w:shd w:val="clear" w:color="auto" w:fill="FFFFFF"/>
            <w:tcMar>
              <w:top w:w="60" w:type="dxa"/>
              <w:bottom w:w="0" w:type="dxa"/>
            </w:tcMar>
          </w:tcPr>
          <w:p w14:paraId="2D011D8D" w14:textId="77777777" w:rsidR="00076E63" w:rsidRPr="003F518A" w:rsidRDefault="00076E63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Опишете качествено и количествено всички значителни разходи и ползи на годишна база</w:t>
            </w:r>
            <w:r w:rsidR="00E44DE0"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 коя от заинтересованите страни ще ги понесе</w:t>
            </w:r>
            <w:r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. Използвайте приблизителни цифри и диапазони, включително парични разходи </w:t>
            </w:r>
            <w:r w:rsidR="00F51681"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</w:t>
            </w:r>
            <w:r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в лв.</w:t>
            </w:r>
            <w:r w:rsidR="00F51681" w:rsidRPr="003F5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).</w:t>
            </w:r>
          </w:p>
        </w:tc>
      </w:tr>
      <w:tr w:rsidR="00EF2D9C" w:rsidRPr="003F518A" w14:paraId="7B882707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4D3168A4" w14:textId="77777777" w:rsidR="00CC1F0D" w:rsidRPr="003F518A" w:rsidRDefault="00CC1F0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F2D9C" w:rsidRPr="003F518A" w14:paraId="615C4038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314E3460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3.2. По проблем 2: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  <w:gridCol w:w="3314"/>
            </w:tblGrid>
            <w:tr w:rsidR="00EF2D9C" w:rsidRPr="003F518A" w14:paraId="75506F6E" w14:textId="77777777" w:rsidTr="00CC1F0D">
              <w:tc>
                <w:tcPr>
                  <w:tcW w:w="3313" w:type="dxa"/>
                </w:tcPr>
                <w:p w14:paraId="203C1208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Варианти за действие:</w:t>
                  </w:r>
                </w:p>
              </w:tc>
              <w:tc>
                <w:tcPr>
                  <w:tcW w:w="3314" w:type="dxa"/>
                </w:tcPr>
                <w:p w14:paraId="3B8C7780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разходи</w:t>
                  </w:r>
                </w:p>
              </w:tc>
              <w:tc>
                <w:tcPr>
                  <w:tcW w:w="3314" w:type="dxa"/>
                </w:tcPr>
                <w:p w14:paraId="16D144FE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ползи</w:t>
                  </w:r>
                </w:p>
              </w:tc>
            </w:tr>
            <w:tr w:rsidR="00EF2D9C" w:rsidRPr="003F518A" w14:paraId="2DBD5A62" w14:textId="77777777" w:rsidTr="00CC1F0D">
              <w:tc>
                <w:tcPr>
                  <w:tcW w:w="3313" w:type="dxa"/>
                </w:tcPr>
                <w:p w14:paraId="29CFC0C7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Препоръчителен вариант: Вариант  „Предприемане на предлаганите законодателни промени “</w:t>
                  </w:r>
                </w:p>
              </w:tc>
              <w:tc>
                <w:tcPr>
                  <w:tcW w:w="3314" w:type="dxa"/>
                </w:tcPr>
                <w:p w14:paraId="222368D6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разходи</w:t>
                  </w:r>
                </w:p>
              </w:tc>
              <w:tc>
                <w:tcPr>
                  <w:tcW w:w="3314" w:type="dxa"/>
                </w:tcPr>
                <w:p w14:paraId="4379ABB7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приходи</w:t>
                  </w:r>
                </w:p>
              </w:tc>
            </w:tr>
          </w:tbl>
          <w:p w14:paraId="54411F57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F2D9C" w:rsidRPr="003F518A" w14:paraId="07AFE42F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</w:tcPr>
          <w:p w14:paraId="2B188899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 w:rsidR="00CC1F0D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CC1F0D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  <w:gridCol w:w="3314"/>
            </w:tblGrid>
            <w:tr w:rsidR="00EF2D9C" w:rsidRPr="003F518A" w14:paraId="08CD2C5D" w14:textId="77777777" w:rsidTr="004734E9">
              <w:tc>
                <w:tcPr>
                  <w:tcW w:w="3313" w:type="dxa"/>
                </w:tcPr>
                <w:p w14:paraId="673D30C5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Варианти за действие:</w:t>
                  </w:r>
                </w:p>
              </w:tc>
              <w:tc>
                <w:tcPr>
                  <w:tcW w:w="3314" w:type="dxa"/>
                </w:tcPr>
                <w:p w14:paraId="3184D194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разходи</w:t>
                  </w:r>
                </w:p>
              </w:tc>
              <w:tc>
                <w:tcPr>
                  <w:tcW w:w="3314" w:type="dxa"/>
                </w:tcPr>
                <w:p w14:paraId="4F68F6B4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ползи</w:t>
                  </w:r>
                </w:p>
              </w:tc>
            </w:tr>
            <w:tr w:rsidR="00EF2D9C" w:rsidRPr="003F518A" w14:paraId="7CB18DE1" w14:textId="77777777" w:rsidTr="004734E9">
              <w:tc>
                <w:tcPr>
                  <w:tcW w:w="3313" w:type="dxa"/>
                </w:tcPr>
                <w:p w14:paraId="422B9E83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Препоръчителен вариант: Вариант  „Предприемане на предлаганите законодателни промени “</w:t>
                  </w:r>
                </w:p>
              </w:tc>
              <w:tc>
                <w:tcPr>
                  <w:tcW w:w="3314" w:type="dxa"/>
                </w:tcPr>
                <w:p w14:paraId="1E6CE04F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разходи</w:t>
                  </w:r>
                </w:p>
              </w:tc>
              <w:tc>
                <w:tcPr>
                  <w:tcW w:w="3314" w:type="dxa"/>
                </w:tcPr>
                <w:p w14:paraId="51E5EC92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приходи</w:t>
                  </w:r>
                </w:p>
              </w:tc>
            </w:tr>
          </w:tbl>
          <w:p w14:paraId="429CDFB5" w14:textId="77777777" w:rsidR="00CC1F0D" w:rsidRPr="003F518A" w:rsidRDefault="00CC1F0D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3.4. По проблем 4: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  <w:gridCol w:w="3314"/>
            </w:tblGrid>
            <w:tr w:rsidR="00EF2D9C" w:rsidRPr="003F518A" w14:paraId="64D0CBC9" w14:textId="77777777" w:rsidTr="004734E9">
              <w:tc>
                <w:tcPr>
                  <w:tcW w:w="3313" w:type="dxa"/>
                </w:tcPr>
                <w:p w14:paraId="173EFD0C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Варианти за действие:</w:t>
                  </w:r>
                </w:p>
              </w:tc>
              <w:tc>
                <w:tcPr>
                  <w:tcW w:w="3314" w:type="dxa"/>
                </w:tcPr>
                <w:p w14:paraId="667E641D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разходи</w:t>
                  </w:r>
                </w:p>
              </w:tc>
              <w:tc>
                <w:tcPr>
                  <w:tcW w:w="3314" w:type="dxa"/>
                </w:tcPr>
                <w:p w14:paraId="19D39390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ползи</w:t>
                  </w:r>
                </w:p>
              </w:tc>
            </w:tr>
            <w:tr w:rsidR="00EF2D9C" w:rsidRPr="003F518A" w14:paraId="186BDB6A" w14:textId="77777777" w:rsidTr="004734E9">
              <w:tc>
                <w:tcPr>
                  <w:tcW w:w="3313" w:type="dxa"/>
                </w:tcPr>
                <w:p w14:paraId="3926BB02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Препоръчителен вариант: Вариант  „Предприемане на предлаганите законодателни промени “</w:t>
                  </w:r>
                </w:p>
              </w:tc>
              <w:tc>
                <w:tcPr>
                  <w:tcW w:w="3314" w:type="dxa"/>
                </w:tcPr>
                <w:p w14:paraId="1DE0FF2A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разходи</w:t>
                  </w:r>
                </w:p>
              </w:tc>
              <w:tc>
                <w:tcPr>
                  <w:tcW w:w="3314" w:type="dxa"/>
                </w:tcPr>
                <w:p w14:paraId="5BA9B404" w14:textId="77777777" w:rsidR="00CC1F0D" w:rsidRPr="003F518A" w:rsidRDefault="00CC1F0D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приходи</w:t>
                  </w:r>
                </w:p>
              </w:tc>
            </w:tr>
          </w:tbl>
          <w:p w14:paraId="7CCD42CD" w14:textId="77777777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3.5. По проблем 5: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  <w:gridCol w:w="3314"/>
            </w:tblGrid>
            <w:tr w:rsidR="00EF2D9C" w:rsidRPr="003F518A" w14:paraId="193FB94C" w14:textId="77777777">
              <w:tc>
                <w:tcPr>
                  <w:tcW w:w="3313" w:type="dxa"/>
                </w:tcPr>
                <w:p w14:paraId="6988B5BF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Варианти за действие:</w:t>
                  </w:r>
                </w:p>
              </w:tc>
              <w:tc>
                <w:tcPr>
                  <w:tcW w:w="3314" w:type="dxa"/>
                </w:tcPr>
                <w:p w14:paraId="3CB14338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разходи</w:t>
                  </w:r>
                </w:p>
              </w:tc>
              <w:tc>
                <w:tcPr>
                  <w:tcW w:w="3314" w:type="dxa"/>
                </w:tcPr>
                <w:p w14:paraId="776C8538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ползи</w:t>
                  </w:r>
                </w:p>
              </w:tc>
            </w:tr>
            <w:tr w:rsidR="00EF2D9C" w:rsidRPr="003F518A" w14:paraId="45993AB9" w14:textId="77777777">
              <w:tc>
                <w:tcPr>
                  <w:tcW w:w="3313" w:type="dxa"/>
                </w:tcPr>
                <w:p w14:paraId="3CB44724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Препоръчителен вариант: Вариант  „Предприемане на предлаганите законодателни промени “</w:t>
                  </w:r>
                </w:p>
              </w:tc>
              <w:tc>
                <w:tcPr>
                  <w:tcW w:w="3314" w:type="dxa"/>
                </w:tcPr>
                <w:p w14:paraId="6B1A0232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разходи</w:t>
                  </w:r>
                </w:p>
              </w:tc>
              <w:tc>
                <w:tcPr>
                  <w:tcW w:w="3314" w:type="dxa"/>
                </w:tcPr>
                <w:p w14:paraId="5FD33B5D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приходи</w:t>
                  </w:r>
                </w:p>
              </w:tc>
            </w:tr>
          </w:tbl>
          <w:p w14:paraId="226EA02E" w14:textId="77777777" w:rsidR="007A000C" w:rsidRPr="003F518A" w:rsidRDefault="007A000C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3.6. По проблем 6: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  <w:gridCol w:w="3314"/>
            </w:tblGrid>
            <w:tr w:rsidR="00EF2D9C" w:rsidRPr="003F518A" w14:paraId="59BA3295" w14:textId="77777777">
              <w:tc>
                <w:tcPr>
                  <w:tcW w:w="3313" w:type="dxa"/>
                </w:tcPr>
                <w:p w14:paraId="0903B771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Варианти за действие:</w:t>
                  </w:r>
                </w:p>
              </w:tc>
              <w:tc>
                <w:tcPr>
                  <w:tcW w:w="3314" w:type="dxa"/>
                </w:tcPr>
                <w:p w14:paraId="6EA11C66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разходи</w:t>
                  </w:r>
                </w:p>
              </w:tc>
              <w:tc>
                <w:tcPr>
                  <w:tcW w:w="3314" w:type="dxa"/>
                </w:tcPr>
                <w:p w14:paraId="35CB77A8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ползи</w:t>
                  </w:r>
                </w:p>
              </w:tc>
            </w:tr>
            <w:tr w:rsidR="00EF2D9C" w:rsidRPr="003F518A" w14:paraId="1D192F7C" w14:textId="77777777">
              <w:tc>
                <w:tcPr>
                  <w:tcW w:w="3313" w:type="dxa"/>
                </w:tcPr>
                <w:p w14:paraId="57337411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Препоръчителен вариант: Вариант  „Предприемане на предлаганите законодателни промени “</w:t>
                  </w:r>
                </w:p>
              </w:tc>
              <w:tc>
                <w:tcPr>
                  <w:tcW w:w="3314" w:type="dxa"/>
                </w:tcPr>
                <w:p w14:paraId="6BF88644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разходи</w:t>
                  </w:r>
                </w:p>
              </w:tc>
              <w:tc>
                <w:tcPr>
                  <w:tcW w:w="3314" w:type="dxa"/>
                </w:tcPr>
                <w:p w14:paraId="3843D398" w14:textId="77777777" w:rsidR="007A000C" w:rsidRPr="003F518A" w:rsidRDefault="007A000C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приходи</w:t>
                  </w:r>
                </w:p>
              </w:tc>
            </w:tr>
          </w:tbl>
          <w:p w14:paraId="6A3F638A" w14:textId="77777777" w:rsidR="002D5F15" w:rsidRPr="003F518A" w:rsidRDefault="002D5F1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3.7. По проблем 7: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  <w:gridCol w:w="3314"/>
            </w:tblGrid>
            <w:tr w:rsidR="00EF2D9C" w:rsidRPr="003F518A" w14:paraId="64DAF594" w14:textId="77777777">
              <w:tc>
                <w:tcPr>
                  <w:tcW w:w="3313" w:type="dxa"/>
                </w:tcPr>
                <w:p w14:paraId="1CDA8784" w14:textId="77777777" w:rsidR="002D5F15" w:rsidRPr="003F518A" w:rsidRDefault="002D5F15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Варианти за действие:</w:t>
                  </w:r>
                </w:p>
              </w:tc>
              <w:tc>
                <w:tcPr>
                  <w:tcW w:w="3314" w:type="dxa"/>
                </w:tcPr>
                <w:p w14:paraId="068D9964" w14:textId="77777777" w:rsidR="002D5F15" w:rsidRPr="003F518A" w:rsidRDefault="002D5F15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разходи</w:t>
                  </w:r>
                </w:p>
              </w:tc>
              <w:tc>
                <w:tcPr>
                  <w:tcW w:w="3314" w:type="dxa"/>
                </w:tcPr>
                <w:p w14:paraId="01423AEB" w14:textId="77777777" w:rsidR="002D5F15" w:rsidRPr="003F518A" w:rsidRDefault="002D5F15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 годишни ползи</w:t>
                  </w:r>
                </w:p>
              </w:tc>
            </w:tr>
            <w:tr w:rsidR="00EF2D9C" w:rsidRPr="003F518A" w14:paraId="579BB956" w14:textId="77777777">
              <w:tc>
                <w:tcPr>
                  <w:tcW w:w="3313" w:type="dxa"/>
                </w:tcPr>
                <w:p w14:paraId="3F0C0F0D" w14:textId="77777777" w:rsidR="002D5F15" w:rsidRPr="003F518A" w:rsidRDefault="002D5F15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Препоръчителен вариант: Вариант  „Предприемане на предлаганите законодателни промени “</w:t>
                  </w:r>
                </w:p>
              </w:tc>
              <w:tc>
                <w:tcPr>
                  <w:tcW w:w="3314" w:type="dxa"/>
                </w:tcPr>
                <w:p w14:paraId="4CAA3452" w14:textId="77777777" w:rsidR="002D5F15" w:rsidRPr="003F518A" w:rsidRDefault="002D5F15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разходи</w:t>
                  </w:r>
                </w:p>
              </w:tc>
              <w:tc>
                <w:tcPr>
                  <w:tcW w:w="3314" w:type="dxa"/>
                </w:tcPr>
                <w:p w14:paraId="38A61C62" w14:textId="77777777" w:rsidR="002D5F15" w:rsidRPr="003F518A" w:rsidRDefault="002D5F15" w:rsidP="00A13D6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F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рамките на бюджетните приходи</w:t>
                  </w:r>
                </w:p>
              </w:tc>
            </w:tr>
          </w:tbl>
          <w:p w14:paraId="11410D82" w14:textId="77777777" w:rsidR="000F5DB5" w:rsidRPr="003F518A" w:rsidRDefault="000F5DB5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F2D9C" w:rsidRPr="003F518A" w14:paraId="615FEC57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14:paraId="01D19C25" w14:textId="77777777" w:rsidR="00076E63" w:rsidRPr="003F518A" w:rsidRDefault="00076E63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Проведени консултации</w:t>
            </w:r>
          </w:p>
        </w:tc>
      </w:tr>
      <w:tr w:rsidR="00EF2D9C" w:rsidRPr="003F518A" w14:paraId="0293726A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37FAA897" w14:textId="77777777" w:rsidR="00076E63" w:rsidRPr="003F518A" w:rsidRDefault="00076E63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Консултации:</w:t>
            </w:r>
          </w:p>
          <w:p w14:paraId="26227150" w14:textId="77777777" w:rsidR="004734E9" w:rsidRPr="003F518A" w:rsidRDefault="00D959A8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Изготвеният консултационен документ по проекта на Закона за изменение и допълнение на Закона за гражданското въздухоплаване беше публикуван за обществени консултации на Портала на Министерския съвет и на интернет страницата на Министерството на транспорта и съобщенията</w:t>
            </w:r>
            <w:r w:rsidR="00773F9B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1261D658" w14:textId="77777777" w:rsidR="00D959A8" w:rsidRPr="003F518A" w:rsidRDefault="00D959A8" w:rsidP="00A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законопроекта се планира да бъде проведена обществена консултация в съответствие с изискванията на чл. 26 от Закона за нормативните актове, посредством публикуването на проекта, мотивите към него и цялостната оценка на въздействието на Портала за обществени консултации и на интернет страницата на Министерството на</w:t>
            </w:r>
            <w:r w:rsidR="00E66736"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транспорта и съобщенията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Предвижда се общественото обсъждане да бъде в срок от 30 дни.</w:t>
            </w:r>
          </w:p>
          <w:p w14:paraId="1E822A0A" w14:textId="3027309E" w:rsidR="001138D1" w:rsidRPr="003F518A" w:rsidRDefault="001138D1" w:rsidP="00254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</w:tr>
      <w:tr w:rsidR="00EF2D9C" w:rsidRPr="003F518A" w14:paraId="230E47CC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14:paraId="6D99097F" w14:textId="77777777" w:rsidR="00076E63" w:rsidRPr="003F518A" w:rsidRDefault="00076E63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Привеждане в действие и изпълнение</w:t>
            </w:r>
          </w:p>
        </w:tc>
      </w:tr>
      <w:tr w:rsidR="00EF2D9C" w:rsidRPr="003F518A" w14:paraId="4EF783E1" w14:textId="77777777" w:rsidTr="00076E63">
        <w:trPr>
          <w:trHeight w:val="60"/>
        </w:trPr>
        <w:tc>
          <w:tcPr>
            <w:tcW w:w="6721" w:type="dxa"/>
            <w:gridSpan w:val="3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75E534D9" w14:textId="77777777" w:rsidR="00076E63" w:rsidRPr="003F518A" w:rsidRDefault="00076E63" w:rsidP="00A1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От коя дата предложението </w:t>
            </w:r>
            <w:r w:rsidR="000A1BC7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влиза в сила</w:t>
            </w: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?</w:t>
            </w:r>
          </w:p>
        </w:tc>
        <w:tc>
          <w:tcPr>
            <w:tcW w:w="3344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75295D91" w14:textId="77777777" w:rsidR="00076E63" w:rsidRPr="003F518A" w:rsidRDefault="004734E9" w:rsidP="002D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 дни след обнародване на закона в „Държавен вестник“</w:t>
            </w:r>
          </w:p>
        </w:tc>
      </w:tr>
      <w:tr w:rsidR="00EF2D9C" w:rsidRPr="003F518A" w14:paraId="6CC400E2" w14:textId="77777777" w:rsidTr="00076E63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088B207D" w14:textId="77777777" w:rsidR="00076E63" w:rsidRPr="003F518A" w:rsidRDefault="00076E63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Коя институция ще отговаря за </w:t>
            </w:r>
            <w:r w:rsidR="000A1BC7"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изпълнението </w:t>
            </w:r>
            <w:r w:rsidRPr="003F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  <w:t>на предложението и за контрола?</w:t>
            </w:r>
          </w:p>
          <w:p w14:paraId="5C6A1567" w14:textId="77777777" w:rsidR="00076E63" w:rsidRPr="003F518A" w:rsidRDefault="009A34E4" w:rsidP="00A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Главна дирекция „Гражданска въздухоплавателна администрация“. Предложението не предвижда разходи.</w:t>
            </w:r>
          </w:p>
        </w:tc>
      </w:tr>
      <w:tr w:rsidR="00EF2D9C" w:rsidRPr="003F518A" w14:paraId="5E85DE4B" w14:textId="77777777" w:rsidTr="009546F1">
        <w:trPr>
          <w:trHeight w:val="60"/>
        </w:trPr>
        <w:tc>
          <w:tcPr>
            <w:tcW w:w="10065" w:type="dxa"/>
            <w:gridSpan w:val="4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3662D098" w14:textId="77777777" w:rsidR="00042D08" w:rsidRPr="003F518A" w:rsidRDefault="00042D08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Име, длъжност и подпис на директора на дирекцията, отговорна за извършването на цялостната предварителна оценка на въздействието:</w:t>
            </w:r>
          </w:p>
          <w:p w14:paraId="07E91FAE" w14:textId="77777777" w:rsidR="00042D08" w:rsidRPr="003F518A" w:rsidRDefault="00042D08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570FC21" w14:textId="77777777" w:rsidR="00042D08" w:rsidRPr="003F518A" w:rsidRDefault="00042D08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 w:rsidR="00CC1F0D"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Анелия Маринова – главен директор на ГД ГВА</w:t>
            </w:r>
          </w:p>
          <w:p w14:paraId="2A852E05" w14:textId="77777777" w:rsidR="00CC1F0D" w:rsidRPr="003F518A" w:rsidRDefault="00CC1F0D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24339DA" w14:textId="77777777" w:rsidR="00CC1F0D" w:rsidRPr="003F518A" w:rsidRDefault="00CC1F0D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80F3755" w14:textId="77777777" w:rsidR="00042D08" w:rsidRPr="003F518A" w:rsidRDefault="00042D08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14:paraId="7ACAC198" w14:textId="77777777" w:rsidR="00042D08" w:rsidRPr="003F518A" w:rsidRDefault="00042D08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3F518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14:paraId="4F71DF07" w14:textId="77777777" w:rsidR="00042D08" w:rsidRPr="003F518A" w:rsidRDefault="00042D08" w:rsidP="00A1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</w:tr>
    </w:tbl>
    <w:p w14:paraId="50ADB96A" w14:textId="77777777" w:rsidR="00B02E5E" w:rsidRPr="003F518A" w:rsidRDefault="00B02E5E" w:rsidP="00A1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B02E5E" w:rsidRPr="003F518A" w:rsidSect="00076E63">
      <w:headerReference w:type="even" r:id="rId17"/>
      <w:footerReference w:type="default" r:id="rId18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1E6EA" w14:textId="77777777" w:rsidR="00997764" w:rsidRDefault="00997764">
      <w:pPr>
        <w:spacing w:after="0" w:line="240" w:lineRule="auto"/>
      </w:pPr>
      <w:r>
        <w:separator/>
      </w:r>
    </w:p>
  </w:endnote>
  <w:endnote w:type="continuationSeparator" w:id="0">
    <w:p w14:paraId="5BCB11CB" w14:textId="77777777" w:rsidR="00997764" w:rsidRDefault="0099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C7BA" w14:textId="7CC660E7" w:rsidR="00C348AB" w:rsidRPr="003E3642" w:rsidRDefault="00C348AB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473080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14:paraId="53E10322" w14:textId="77777777" w:rsidR="00C348AB" w:rsidRDefault="00C34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6AC92" w14:textId="77777777" w:rsidR="00997764" w:rsidRDefault="00997764">
      <w:pPr>
        <w:spacing w:after="0" w:line="240" w:lineRule="auto"/>
      </w:pPr>
      <w:r>
        <w:separator/>
      </w:r>
    </w:p>
  </w:footnote>
  <w:footnote w:type="continuationSeparator" w:id="0">
    <w:p w14:paraId="43C019D9" w14:textId="77777777" w:rsidR="00997764" w:rsidRDefault="0099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ACDB" w14:textId="77777777" w:rsidR="00C348AB" w:rsidRDefault="00C348AB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6D250AC6" w14:textId="77777777" w:rsidR="00C348AB" w:rsidRDefault="00C34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0240"/>
    <w:rsid w:val="000158B0"/>
    <w:rsid w:val="00015CD1"/>
    <w:rsid w:val="00042D08"/>
    <w:rsid w:val="00053D15"/>
    <w:rsid w:val="00055C59"/>
    <w:rsid w:val="00056EB5"/>
    <w:rsid w:val="00064387"/>
    <w:rsid w:val="00064CC7"/>
    <w:rsid w:val="000769EF"/>
    <w:rsid w:val="00076E63"/>
    <w:rsid w:val="000834D7"/>
    <w:rsid w:val="00095FB7"/>
    <w:rsid w:val="000976F7"/>
    <w:rsid w:val="000A1BC7"/>
    <w:rsid w:val="000A2E06"/>
    <w:rsid w:val="000B616B"/>
    <w:rsid w:val="000F2A60"/>
    <w:rsid w:val="000F5DB5"/>
    <w:rsid w:val="00112869"/>
    <w:rsid w:val="001138D1"/>
    <w:rsid w:val="00141A44"/>
    <w:rsid w:val="00152602"/>
    <w:rsid w:val="00153946"/>
    <w:rsid w:val="00155CDA"/>
    <w:rsid w:val="001675DE"/>
    <w:rsid w:val="00172F84"/>
    <w:rsid w:val="00175721"/>
    <w:rsid w:val="001820AD"/>
    <w:rsid w:val="001A1D39"/>
    <w:rsid w:val="001B20DE"/>
    <w:rsid w:val="001D361A"/>
    <w:rsid w:val="001D5E11"/>
    <w:rsid w:val="001E44FB"/>
    <w:rsid w:val="001F6D3C"/>
    <w:rsid w:val="00210907"/>
    <w:rsid w:val="00210E30"/>
    <w:rsid w:val="00234ACC"/>
    <w:rsid w:val="00254EE7"/>
    <w:rsid w:val="00255A15"/>
    <w:rsid w:val="00291E82"/>
    <w:rsid w:val="002B4432"/>
    <w:rsid w:val="002B6DB7"/>
    <w:rsid w:val="002C2878"/>
    <w:rsid w:val="002C7DDC"/>
    <w:rsid w:val="002D18BE"/>
    <w:rsid w:val="002D5F15"/>
    <w:rsid w:val="002E3552"/>
    <w:rsid w:val="002F106B"/>
    <w:rsid w:val="002F3A2F"/>
    <w:rsid w:val="002F4CF3"/>
    <w:rsid w:val="00321D62"/>
    <w:rsid w:val="00345D0F"/>
    <w:rsid w:val="0034619C"/>
    <w:rsid w:val="00347A9A"/>
    <w:rsid w:val="00347FA3"/>
    <w:rsid w:val="00355DE1"/>
    <w:rsid w:val="003567F0"/>
    <w:rsid w:val="00361FC9"/>
    <w:rsid w:val="0036675B"/>
    <w:rsid w:val="003669F8"/>
    <w:rsid w:val="00381A10"/>
    <w:rsid w:val="0039410A"/>
    <w:rsid w:val="003B0C4E"/>
    <w:rsid w:val="003B7CF5"/>
    <w:rsid w:val="003C124D"/>
    <w:rsid w:val="003C5FAD"/>
    <w:rsid w:val="003E67FD"/>
    <w:rsid w:val="003F518A"/>
    <w:rsid w:val="00422557"/>
    <w:rsid w:val="004233D4"/>
    <w:rsid w:val="00427D75"/>
    <w:rsid w:val="00430A6C"/>
    <w:rsid w:val="0044513C"/>
    <w:rsid w:val="00446115"/>
    <w:rsid w:val="00454D8A"/>
    <w:rsid w:val="004566E2"/>
    <w:rsid w:val="00471748"/>
    <w:rsid w:val="00473080"/>
    <w:rsid w:val="004734E9"/>
    <w:rsid w:val="00475B7B"/>
    <w:rsid w:val="00477FAD"/>
    <w:rsid w:val="00490BFF"/>
    <w:rsid w:val="004A4129"/>
    <w:rsid w:val="004A46E7"/>
    <w:rsid w:val="004A5578"/>
    <w:rsid w:val="004D53B5"/>
    <w:rsid w:val="004E4FD6"/>
    <w:rsid w:val="004F1C8E"/>
    <w:rsid w:val="005015D4"/>
    <w:rsid w:val="00503482"/>
    <w:rsid w:val="00503790"/>
    <w:rsid w:val="005047A4"/>
    <w:rsid w:val="00512211"/>
    <w:rsid w:val="00523187"/>
    <w:rsid w:val="005305F7"/>
    <w:rsid w:val="00576ECA"/>
    <w:rsid w:val="005813EB"/>
    <w:rsid w:val="005B575C"/>
    <w:rsid w:val="005C68B4"/>
    <w:rsid w:val="005C7418"/>
    <w:rsid w:val="005D01FC"/>
    <w:rsid w:val="005E1D2E"/>
    <w:rsid w:val="0060089B"/>
    <w:rsid w:val="0060302A"/>
    <w:rsid w:val="006144D6"/>
    <w:rsid w:val="00621DB9"/>
    <w:rsid w:val="00630171"/>
    <w:rsid w:val="00673D34"/>
    <w:rsid w:val="00682289"/>
    <w:rsid w:val="006A041E"/>
    <w:rsid w:val="006C5776"/>
    <w:rsid w:val="006D7984"/>
    <w:rsid w:val="007108A0"/>
    <w:rsid w:val="0072089C"/>
    <w:rsid w:val="00751231"/>
    <w:rsid w:val="00757667"/>
    <w:rsid w:val="00773F9B"/>
    <w:rsid w:val="00780E49"/>
    <w:rsid w:val="00782D7A"/>
    <w:rsid w:val="0078311F"/>
    <w:rsid w:val="007A000C"/>
    <w:rsid w:val="007A06E5"/>
    <w:rsid w:val="007A395E"/>
    <w:rsid w:val="007D7855"/>
    <w:rsid w:val="00812565"/>
    <w:rsid w:val="00890C26"/>
    <w:rsid w:val="00891678"/>
    <w:rsid w:val="008B4850"/>
    <w:rsid w:val="008D0FA2"/>
    <w:rsid w:val="008D1A7B"/>
    <w:rsid w:val="008D66E4"/>
    <w:rsid w:val="008F18FB"/>
    <w:rsid w:val="00911399"/>
    <w:rsid w:val="00914689"/>
    <w:rsid w:val="00921205"/>
    <w:rsid w:val="00944EC9"/>
    <w:rsid w:val="009546F1"/>
    <w:rsid w:val="00966C49"/>
    <w:rsid w:val="009803A9"/>
    <w:rsid w:val="00987731"/>
    <w:rsid w:val="009879CF"/>
    <w:rsid w:val="00997764"/>
    <w:rsid w:val="009A34E4"/>
    <w:rsid w:val="009A43C4"/>
    <w:rsid w:val="009B13A5"/>
    <w:rsid w:val="009C237D"/>
    <w:rsid w:val="009D4DA5"/>
    <w:rsid w:val="009E18EC"/>
    <w:rsid w:val="009E3E8D"/>
    <w:rsid w:val="009F2BE3"/>
    <w:rsid w:val="009F57D6"/>
    <w:rsid w:val="00A105A0"/>
    <w:rsid w:val="00A10CCA"/>
    <w:rsid w:val="00A13D60"/>
    <w:rsid w:val="00A85F4D"/>
    <w:rsid w:val="00A97486"/>
    <w:rsid w:val="00AA3869"/>
    <w:rsid w:val="00AB051D"/>
    <w:rsid w:val="00AC0312"/>
    <w:rsid w:val="00AD1263"/>
    <w:rsid w:val="00B02E5E"/>
    <w:rsid w:val="00B132C1"/>
    <w:rsid w:val="00B27B14"/>
    <w:rsid w:val="00B3186F"/>
    <w:rsid w:val="00B612CA"/>
    <w:rsid w:val="00B722F7"/>
    <w:rsid w:val="00B7453E"/>
    <w:rsid w:val="00BA045E"/>
    <w:rsid w:val="00BA052F"/>
    <w:rsid w:val="00BA05FF"/>
    <w:rsid w:val="00BC219D"/>
    <w:rsid w:val="00BC479A"/>
    <w:rsid w:val="00BC7890"/>
    <w:rsid w:val="00BD7CBE"/>
    <w:rsid w:val="00BF1076"/>
    <w:rsid w:val="00C02F30"/>
    <w:rsid w:val="00C259F8"/>
    <w:rsid w:val="00C348AB"/>
    <w:rsid w:val="00C40BCF"/>
    <w:rsid w:val="00C41DBC"/>
    <w:rsid w:val="00C4688D"/>
    <w:rsid w:val="00C476E1"/>
    <w:rsid w:val="00C62654"/>
    <w:rsid w:val="00C72A9C"/>
    <w:rsid w:val="00C73C85"/>
    <w:rsid w:val="00C73C93"/>
    <w:rsid w:val="00C91093"/>
    <w:rsid w:val="00C93DF1"/>
    <w:rsid w:val="00C94BEA"/>
    <w:rsid w:val="00CC1F0D"/>
    <w:rsid w:val="00CC4D97"/>
    <w:rsid w:val="00CE5E9D"/>
    <w:rsid w:val="00D03AD0"/>
    <w:rsid w:val="00D118FA"/>
    <w:rsid w:val="00D158A3"/>
    <w:rsid w:val="00D374EF"/>
    <w:rsid w:val="00D52B91"/>
    <w:rsid w:val="00D82CFD"/>
    <w:rsid w:val="00D8584E"/>
    <w:rsid w:val="00D87377"/>
    <w:rsid w:val="00D909F1"/>
    <w:rsid w:val="00D91455"/>
    <w:rsid w:val="00D959A8"/>
    <w:rsid w:val="00DA269B"/>
    <w:rsid w:val="00DB5149"/>
    <w:rsid w:val="00DD0C3B"/>
    <w:rsid w:val="00E01DB4"/>
    <w:rsid w:val="00E14E64"/>
    <w:rsid w:val="00E42066"/>
    <w:rsid w:val="00E43DBB"/>
    <w:rsid w:val="00E44DE0"/>
    <w:rsid w:val="00E653D3"/>
    <w:rsid w:val="00E65509"/>
    <w:rsid w:val="00E66736"/>
    <w:rsid w:val="00E70B22"/>
    <w:rsid w:val="00EA0003"/>
    <w:rsid w:val="00EA0785"/>
    <w:rsid w:val="00EA4E62"/>
    <w:rsid w:val="00EB1F47"/>
    <w:rsid w:val="00EB5464"/>
    <w:rsid w:val="00EB7DBD"/>
    <w:rsid w:val="00EC08C1"/>
    <w:rsid w:val="00EC08E6"/>
    <w:rsid w:val="00EC0BA5"/>
    <w:rsid w:val="00ED0CD9"/>
    <w:rsid w:val="00EE020F"/>
    <w:rsid w:val="00EF2D9C"/>
    <w:rsid w:val="00EF6A7B"/>
    <w:rsid w:val="00F04B4E"/>
    <w:rsid w:val="00F04BB8"/>
    <w:rsid w:val="00F06FB7"/>
    <w:rsid w:val="00F161A5"/>
    <w:rsid w:val="00F16E3F"/>
    <w:rsid w:val="00F308BE"/>
    <w:rsid w:val="00F30A9D"/>
    <w:rsid w:val="00F35CCA"/>
    <w:rsid w:val="00F51681"/>
    <w:rsid w:val="00F570B2"/>
    <w:rsid w:val="00F8508C"/>
    <w:rsid w:val="00F87F7B"/>
    <w:rsid w:val="00F950B4"/>
    <w:rsid w:val="00F97AFA"/>
    <w:rsid w:val="00FC4097"/>
    <w:rsid w:val="00FD3860"/>
    <w:rsid w:val="00FF27F7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8E03DF"/>
  <w15:chartTrackingRefBased/>
  <w15:docId w15:val="{C6B70739-5D5C-4261-825F-9CA5FF30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15"/>
  </w:style>
  <w:style w:type="paragraph" w:styleId="Heading3">
    <w:name w:val="heading 3"/>
    <w:basedOn w:val="Normal"/>
    <w:next w:val="Normal"/>
    <w:link w:val="Heading3Char"/>
    <w:rsid w:val="00921205"/>
    <w:pPr>
      <w:keepNext/>
      <w:spacing w:after="0" w:line="240" w:lineRule="auto"/>
      <w:ind w:firstLine="720"/>
      <w:jc w:val="both"/>
      <w:outlineLvl w:val="2"/>
    </w:pPr>
    <w:rPr>
      <w:rFonts w:ascii="TmsCyrNew" w:eastAsia="TmsCyrNew" w:hAnsi="TmsCyrNew" w:cs="TmsCyrNew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21205"/>
    <w:rPr>
      <w:rFonts w:ascii="TmsCyrNew" w:eastAsia="TmsCyrNew" w:hAnsi="TmsCyrNew" w:cs="TmsCyrNew"/>
      <w:b/>
      <w:sz w:val="28"/>
      <w:szCs w:val="28"/>
      <w:lang w:val="bg-BG" w:eastAsia="bg-BG"/>
    </w:rPr>
  </w:style>
  <w:style w:type="paragraph" w:customStyle="1" w:styleId="doc-ti">
    <w:name w:val="doc-ti"/>
    <w:basedOn w:val="Normal"/>
    <w:rsid w:val="00D8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9F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A000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F84"/>
    <w:rPr>
      <w:color w:val="605E5C"/>
      <w:shd w:val="clear" w:color="auto" w:fill="E1DFDD"/>
    </w:rPr>
  </w:style>
  <w:style w:type="paragraph" w:customStyle="1" w:styleId="title-doc-first">
    <w:name w:val="title-doc-first"/>
    <w:basedOn w:val="Normal"/>
    <w:rsid w:val="003B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manuilova@caa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A4CB-6901-4918-B64F-271E2A33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5864</Words>
  <Characters>33429</Characters>
  <Application>Microsoft Office Word</Application>
  <DocSecurity>4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Antoaneta Georgieva</cp:lastModifiedBy>
  <cp:revision>2</cp:revision>
  <cp:lastPrinted>2024-09-13T09:23:00Z</cp:lastPrinted>
  <dcterms:created xsi:type="dcterms:W3CDTF">2024-09-24T12:02:00Z</dcterms:created>
  <dcterms:modified xsi:type="dcterms:W3CDTF">2024-09-24T12:02:00Z</dcterms:modified>
</cp:coreProperties>
</file>