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96" w:rsidRPr="00F10DBE" w:rsidRDefault="003F1496" w:rsidP="007C388C">
      <w:pPr>
        <w:suppressAutoHyphens/>
        <w:spacing w:before="120" w:after="120" w:line="360" w:lineRule="auto"/>
        <w:jc w:val="both"/>
        <w:rPr>
          <w:b/>
          <w:bCs/>
          <w:snapToGrid w:val="0"/>
        </w:rPr>
      </w:pPr>
    </w:p>
    <w:p w:rsidR="003F1496" w:rsidRPr="00F10DBE" w:rsidRDefault="003F1496" w:rsidP="007C388C">
      <w:pPr>
        <w:suppressAutoHyphens/>
        <w:spacing w:before="120" w:after="120" w:line="360" w:lineRule="auto"/>
        <w:jc w:val="center"/>
        <w:rPr>
          <w:b/>
          <w:snapToGrid w:val="0"/>
        </w:rPr>
      </w:pPr>
    </w:p>
    <w:p w:rsidR="003F1496" w:rsidRPr="00733E0B" w:rsidRDefault="003F1496" w:rsidP="007C388C">
      <w:pPr>
        <w:suppressAutoHyphens/>
        <w:spacing w:before="120" w:after="120" w:line="360" w:lineRule="auto"/>
        <w:jc w:val="center"/>
        <w:rPr>
          <w:b/>
        </w:rPr>
      </w:pPr>
      <w:r w:rsidRPr="00E13676">
        <w:rPr>
          <w:b/>
          <w:snapToGrid w:val="0"/>
        </w:rPr>
        <w:t xml:space="preserve">МИНИСТЕРСТВО НА </w:t>
      </w:r>
      <w:r w:rsidR="00733E0B">
        <w:rPr>
          <w:b/>
          <w:snapToGrid w:val="0"/>
        </w:rPr>
        <w:t>ТРАНСПОРТА И СЪОБЩЕНИЯТА</w:t>
      </w:r>
    </w:p>
    <w:p w:rsidR="003F1496" w:rsidRPr="00E13676" w:rsidRDefault="003F1496" w:rsidP="007C388C">
      <w:pPr>
        <w:suppressAutoHyphens/>
        <w:spacing w:before="120" w:after="120" w:line="360" w:lineRule="auto"/>
        <w:jc w:val="center"/>
        <w:rPr>
          <w:b/>
        </w:rPr>
      </w:pPr>
    </w:p>
    <w:p w:rsidR="003F1496" w:rsidRPr="00E13676" w:rsidRDefault="003F1496" w:rsidP="007C388C">
      <w:pPr>
        <w:suppressAutoHyphens/>
        <w:spacing w:before="120" w:after="120" w:line="360" w:lineRule="auto"/>
        <w:jc w:val="center"/>
        <w:rPr>
          <w:b/>
          <w:snapToGrid w:val="0"/>
        </w:rPr>
      </w:pPr>
      <w:r w:rsidRPr="00E13676">
        <w:rPr>
          <w:b/>
          <w:snapToGrid w:val="0"/>
        </w:rPr>
        <w:t>Национален план за възстановяване и устойчивост на Република България</w:t>
      </w:r>
    </w:p>
    <w:p w:rsidR="003F1496" w:rsidRPr="00E13676" w:rsidRDefault="003F1496" w:rsidP="007C388C">
      <w:pPr>
        <w:suppressAutoHyphens/>
        <w:spacing w:before="120" w:after="120" w:line="360" w:lineRule="auto"/>
        <w:jc w:val="center"/>
        <w:rPr>
          <w:b/>
          <w:snapToGrid w:val="0"/>
        </w:rPr>
      </w:pPr>
    </w:p>
    <w:p w:rsidR="003F1496" w:rsidRPr="00E13676" w:rsidRDefault="00733E0B" w:rsidP="007C388C">
      <w:pPr>
        <w:suppressAutoHyphens/>
        <w:spacing w:before="120" w:after="120" w:line="360" w:lineRule="auto"/>
        <w:jc w:val="center"/>
        <w:rPr>
          <w:b/>
        </w:rPr>
      </w:pPr>
      <w:r>
        <w:rPr>
          <w:b/>
          <w:snapToGrid w:val="0"/>
        </w:rPr>
        <w:t>Компонент 7 Цифрова свързаност</w:t>
      </w:r>
      <w:r w:rsidRPr="00733E0B">
        <w:rPr>
          <w:b/>
          <w:snapToGrid w:val="0"/>
        </w:rPr>
        <w:t xml:space="preserve"> </w:t>
      </w:r>
    </w:p>
    <w:p w:rsidR="000E18E6" w:rsidRPr="00106EA5" w:rsidRDefault="000E18E6" w:rsidP="007C388C">
      <w:pPr>
        <w:suppressAutoHyphens/>
        <w:spacing w:before="120" w:after="120" w:line="360" w:lineRule="auto"/>
        <w:jc w:val="center"/>
        <w:rPr>
          <w:b/>
        </w:rPr>
      </w:pPr>
      <w:r w:rsidRPr="00E13676">
        <w:rPr>
          <w:b/>
        </w:rPr>
        <w:t xml:space="preserve">Инвестиция </w:t>
      </w:r>
      <w:r w:rsidRPr="00733E0B">
        <w:rPr>
          <w:b/>
        </w:rPr>
        <w:t>1 „Широкомащабно разгръщане на цифрова инфраструктура</w:t>
      </w:r>
      <w:r>
        <w:rPr>
          <w:b/>
          <w:lang w:val="en-US"/>
        </w:rPr>
        <w:t xml:space="preserve"> </w:t>
      </w:r>
      <w:r>
        <w:rPr>
          <w:b/>
        </w:rPr>
        <w:t>на територията на България“</w:t>
      </w:r>
    </w:p>
    <w:p w:rsidR="003F1496" w:rsidRPr="00E13676" w:rsidRDefault="003F1496" w:rsidP="007C388C">
      <w:pPr>
        <w:suppressAutoHyphens/>
        <w:spacing w:before="120" w:after="120" w:line="360" w:lineRule="auto"/>
        <w:jc w:val="center"/>
        <w:rPr>
          <w:b/>
        </w:rPr>
      </w:pPr>
      <w:r w:rsidRPr="00E13676">
        <w:rPr>
          <w:b/>
        </w:rPr>
        <w:t>УСЛОВИЯ ЗА КАНДИДАТСТВАНЕ</w:t>
      </w:r>
    </w:p>
    <w:p w:rsidR="003F1496" w:rsidRPr="00E13676" w:rsidRDefault="003F1496" w:rsidP="007C388C">
      <w:pPr>
        <w:suppressAutoHyphens/>
        <w:spacing w:before="120" w:after="120" w:line="360" w:lineRule="auto"/>
        <w:jc w:val="center"/>
        <w:rPr>
          <w:b/>
        </w:rPr>
      </w:pPr>
    </w:p>
    <w:p w:rsidR="003F1496" w:rsidRPr="00E13676" w:rsidRDefault="003F1496" w:rsidP="007C388C">
      <w:pPr>
        <w:suppressAutoHyphens/>
        <w:spacing w:before="120" w:after="120" w:line="360" w:lineRule="auto"/>
        <w:jc w:val="center"/>
        <w:rPr>
          <w:b/>
        </w:rPr>
      </w:pPr>
      <w:r w:rsidRPr="00E13676">
        <w:rPr>
          <w:b/>
        </w:rPr>
        <w:t>за получаване на безвъзмездни средства по</w:t>
      </w:r>
    </w:p>
    <w:p w:rsidR="003F1496" w:rsidRPr="00E13676" w:rsidRDefault="003F1496" w:rsidP="007C388C">
      <w:pPr>
        <w:suppressAutoHyphens/>
        <w:spacing w:before="120" w:after="120" w:line="360" w:lineRule="auto"/>
        <w:jc w:val="center"/>
        <w:rPr>
          <w:b/>
        </w:rPr>
      </w:pPr>
      <w:r w:rsidRPr="00E13676">
        <w:rPr>
          <w:b/>
        </w:rPr>
        <w:t>процедура чрез подбор за изпълнение на инвестиции от крайни получатели</w:t>
      </w:r>
    </w:p>
    <w:p w:rsidR="003F1496" w:rsidRPr="00E13676" w:rsidRDefault="003F1496" w:rsidP="007C388C">
      <w:pPr>
        <w:suppressAutoHyphens/>
        <w:spacing w:before="120" w:after="120" w:line="360" w:lineRule="auto"/>
        <w:jc w:val="center"/>
        <w:rPr>
          <w:b/>
        </w:rPr>
      </w:pPr>
    </w:p>
    <w:p w:rsidR="003F1496" w:rsidRPr="00E13676" w:rsidRDefault="003F1496" w:rsidP="007C388C">
      <w:pPr>
        <w:suppressAutoHyphens/>
        <w:spacing w:before="120" w:after="120" w:line="360" w:lineRule="auto"/>
        <w:jc w:val="center"/>
        <w:rPr>
          <w:b/>
        </w:rPr>
      </w:pPr>
      <w:r w:rsidRPr="00E13676">
        <w:rPr>
          <w:b/>
        </w:rPr>
        <w:br w:type="page"/>
      </w:r>
    </w:p>
    <w:p w:rsidR="003F1496" w:rsidRPr="00134E5D" w:rsidRDefault="003F1496" w:rsidP="007C388C">
      <w:pPr>
        <w:pStyle w:val="TOCHeading"/>
        <w:suppressAutoHyphens/>
        <w:spacing w:after="120" w:line="360" w:lineRule="auto"/>
        <w:rPr>
          <w:rFonts w:ascii="Times New Roman" w:hAnsi="Times New Roman"/>
        </w:rPr>
      </w:pPr>
      <w:r w:rsidRPr="00E13676">
        <w:rPr>
          <w:rFonts w:ascii="Times New Roman" w:hAnsi="Times New Roman"/>
          <w:sz w:val="24"/>
          <w:szCs w:val="24"/>
        </w:rPr>
        <w:lastRenderedPageBreak/>
        <w:t>Съдържание</w:t>
      </w:r>
    </w:p>
    <w:p w:rsidR="00817571" w:rsidRDefault="003F1496">
      <w:pPr>
        <w:pStyle w:val="TOC2"/>
        <w:rPr>
          <w:rFonts w:asciiTheme="minorHAnsi" w:eastAsiaTheme="minorEastAsia" w:hAnsiTheme="minorHAnsi" w:cstheme="minorBidi"/>
          <w:noProof/>
          <w:sz w:val="22"/>
          <w:szCs w:val="22"/>
        </w:rPr>
      </w:pPr>
      <w:r w:rsidRPr="00134E5D">
        <w:rPr>
          <w:rFonts w:ascii="Times New Roman" w:hAnsi="Times New Roman"/>
          <w:sz w:val="22"/>
          <w:szCs w:val="22"/>
        </w:rPr>
        <w:fldChar w:fldCharType="begin"/>
      </w:r>
      <w:r w:rsidRPr="00134E5D">
        <w:rPr>
          <w:rFonts w:ascii="Times New Roman" w:hAnsi="Times New Roman"/>
          <w:sz w:val="22"/>
          <w:szCs w:val="22"/>
        </w:rPr>
        <w:instrText xml:space="preserve"> TOC \o "1-3" \h \z \u </w:instrText>
      </w:r>
      <w:r w:rsidRPr="00134E5D">
        <w:rPr>
          <w:rFonts w:ascii="Times New Roman" w:hAnsi="Times New Roman"/>
          <w:sz w:val="22"/>
          <w:szCs w:val="22"/>
        </w:rPr>
        <w:fldChar w:fldCharType="separate"/>
      </w:r>
      <w:hyperlink w:anchor="_Toc183440884" w:history="1">
        <w:r w:rsidR="00817571" w:rsidRPr="00BD4CC6">
          <w:rPr>
            <w:rStyle w:val="Hyperlink"/>
            <w:rFonts w:ascii="Times New Roman" w:hAnsi="Times New Roman"/>
            <w:noProof/>
          </w:rPr>
          <w:t>1. Компонент от Националния план за възстановяване и устойчивост:</w:t>
        </w:r>
        <w:r w:rsidR="00817571">
          <w:rPr>
            <w:noProof/>
            <w:webHidden/>
          </w:rPr>
          <w:tab/>
        </w:r>
        <w:r w:rsidR="00817571">
          <w:rPr>
            <w:noProof/>
            <w:webHidden/>
          </w:rPr>
          <w:fldChar w:fldCharType="begin"/>
        </w:r>
        <w:r w:rsidR="00817571">
          <w:rPr>
            <w:noProof/>
            <w:webHidden/>
          </w:rPr>
          <w:instrText xml:space="preserve"> PAGEREF _Toc183440884 \h </w:instrText>
        </w:r>
        <w:r w:rsidR="00817571">
          <w:rPr>
            <w:noProof/>
            <w:webHidden/>
          </w:rPr>
        </w:r>
        <w:r w:rsidR="00817571">
          <w:rPr>
            <w:noProof/>
            <w:webHidden/>
          </w:rPr>
          <w:fldChar w:fldCharType="separate"/>
        </w:r>
        <w:r w:rsidR="00817571">
          <w:rPr>
            <w:noProof/>
            <w:webHidden/>
          </w:rPr>
          <w:t>4</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85" w:history="1">
        <w:r w:rsidR="00817571" w:rsidRPr="00BD4CC6">
          <w:rPr>
            <w:rStyle w:val="Hyperlink"/>
            <w:rFonts w:ascii="Times New Roman" w:hAnsi="Times New Roman"/>
            <w:noProof/>
          </w:rPr>
          <w:t>2. Наименование на инвестицията:</w:t>
        </w:r>
        <w:r w:rsidR="00817571">
          <w:rPr>
            <w:noProof/>
            <w:webHidden/>
          </w:rPr>
          <w:tab/>
        </w:r>
        <w:r w:rsidR="00817571">
          <w:rPr>
            <w:noProof/>
            <w:webHidden/>
          </w:rPr>
          <w:fldChar w:fldCharType="begin"/>
        </w:r>
        <w:r w:rsidR="00817571">
          <w:rPr>
            <w:noProof/>
            <w:webHidden/>
          </w:rPr>
          <w:instrText xml:space="preserve"> PAGEREF _Toc183440885 \h </w:instrText>
        </w:r>
        <w:r w:rsidR="00817571">
          <w:rPr>
            <w:noProof/>
            <w:webHidden/>
          </w:rPr>
        </w:r>
        <w:r w:rsidR="00817571">
          <w:rPr>
            <w:noProof/>
            <w:webHidden/>
          </w:rPr>
          <w:fldChar w:fldCharType="separate"/>
        </w:r>
        <w:r w:rsidR="00817571">
          <w:rPr>
            <w:noProof/>
            <w:webHidden/>
          </w:rPr>
          <w:t>4</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86" w:history="1">
        <w:r w:rsidR="00817571" w:rsidRPr="00BD4CC6">
          <w:rPr>
            <w:rStyle w:val="Hyperlink"/>
            <w:rFonts w:ascii="Times New Roman" w:hAnsi="Times New Roman"/>
            <w:noProof/>
          </w:rPr>
          <w:t>3. Наименование на процедурата:</w:t>
        </w:r>
        <w:r w:rsidR="00817571">
          <w:rPr>
            <w:noProof/>
            <w:webHidden/>
          </w:rPr>
          <w:tab/>
        </w:r>
        <w:r w:rsidR="00817571">
          <w:rPr>
            <w:noProof/>
            <w:webHidden/>
          </w:rPr>
          <w:fldChar w:fldCharType="begin"/>
        </w:r>
        <w:r w:rsidR="00817571">
          <w:rPr>
            <w:noProof/>
            <w:webHidden/>
          </w:rPr>
          <w:instrText xml:space="preserve"> PAGEREF _Toc183440886 \h </w:instrText>
        </w:r>
        <w:r w:rsidR="00817571">
          <w:rPr>
            <w:noProof/>
            <w:webHidden/>
          </w:rPr>
        </w:r>
        <w:r w:rsidR="00817571">
          <w:rPr>
            <w:noProof/>
            <w:webHidden/>
          </w:rPr>
          <w:fldChar w:fldCharType="separate"/>
        </w:r>
        <w:r w:rsidR="00817571">
          <w:rPr>
            <w:noProof/>
            <w:webHidden/>
          </w:rPr>
          <w:t>4</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87" w:history="1">
        <w:r w:rsidR="00817571" w:rsidRPr="00BD4CC6">
          <w:rPr>
            <w:rStyle w:val="Hyperlink"/>
            <w:rFonts w:ascii="Times New Roman" w:hAnsi="Times New Roman"/>
            <w:noProof/>
          </w:rPr>
          <w:t>4. Териториален обхват:</w:t>
        </w:r>
        <w:r w:rsidR="00817571">
          <w:rPr>
            <w:noProof/>
            <w:webHidden/>
          </w:rPr>
          <w:tab/>
        </w:r>
        <w:r w:rsidR="00817571">
          <w:rPr>
            <w:noProof/>
            <w:webHidden/>
          </w:rPr>
          <w:fldChar w:fldCharType="begin"/>
        </w:r>
        <w:r w:rsidR="00817571">
          <w:rPr>
            <w:noProof/>
            <w:webHidden/>
          </w:rPr>
          <w:instrText xml:space="preserve"> PAGEREF _Toc183440887 \h </w:instrText>
        </w:r>
        <w:r w:rsidR="00817571">
          <w:rPr>
            <w:noProof/>
            <w:webHidden/>
          </w:rPr>
        </w:r>
        <w:r w:rsidR="00817571">
          <w:rPr>
            <w:noProof/>
            <w:webHidden/>
          </w:rPr>
          <w:fldChar w:fldCharType="separate"/>
        </w:r>
        <w:r w:rsidR="00817571">
          <w:rPr>
            <w:noProof/>
            <w:webHidden/>
          </w:rPr>
          <w:t>5</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88" w:history="1">
        <w:r w:rsidR="00817571" w:rsidRPr="00BD4CC6">
          <w:rPr>
            <w:rStyle w:val="Hyperlink"/>
            <w:rFonts w:ascii="Times New Roman" w:hAnsi="Times New Roman"/>
            <w:noProof/>
          </w:rPr>
          <w:t>5. Цели на получаваните безвъзмездни средства по процедурата и очаквани резултати:</w:t>
        </w:r>
        <w:r w:rsidR="00817571">
          <w:rPr>
            <w:noProof/>
            <w:webHidden/>
          </w:rPr>
          <w:tab/>
        </w:r>
        <w:r w:rsidR="00817571">
          <w:rPr>
            <w:noProof/>
            <w:webHidden/>
          </w:rPr>
          <w:fldChar w:fldCharType="begin"/>
        </w:r>
        <w:r w:rsidR="00817571">
          <w:rPr>
            <w:noProof/>
            <w:webHidden/>
          </w:rPr>
          <w:instrText xml:space="preserve"> PAGEREF _Toc183440888 \h </w:instrText>
        </w:r>
        <w:r w:rsidR="00817571">
          <w:rPr>
            <w:noProof/>
            <w:webHidden/>
          </w:rPr>
        </w:r>
        <w:r w:rsidR="00817571">
          <w:rPr>
            <w:noProof/>
            <w:webHidden/>
          </w:rPr>
          <w:fldChar w:fldCharType="separate"/>
        </w:r>
        <w:r w:rsidR="00817571">
          <w:rPr>
            <w:noProof/>
            <w:webHidden/>
          </w:rPr>
          <w:t>6</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89" w:history="1">
        <w:r w:rsidR="00817571" w:rsidRPr="00BD4CC6">
          <w:rPr>
            <w:rStyle w:val="Hyperlink"/>
            <w:rFonts w:ascii="Times New Roman" w:hAnsi="Times New Roman"/>
            <w:noProof/>
          </w:rPr>
          <w:t>6. Индикатори:</w:t>
        </w:r>
        <w:r w:rsidR="00817571">
          <w:rPr>
            <w:noProof/>
            <w:webHidden/>
          </w:rPr>
          <w:tab/>
        </w:r>
        <w:r w:rsidR="00817571">
          <w:rPr>
            <w:noProof/>
            <w:webHidden/>
          </w:rPr>
          <w:fldChar w:fldCharType="begin"/>
        </w:r>
        <w:r w:rsidR="00817571">
          <w:rPr>
            <w:noProof/>
            <w:webHidden/>
          </w:rPr>
          <w:instrText xml:space="preserve"> PAGEREF _Toc183440889 \h </w:instrText>
        </w:r>
        <w:r w:rsidR="00817571">
          <w:rPr>
            <w:noProof/>
            <w:webHidden/>
          </w:rPr>
        </w:r>
        <w:r w:rsidR="00817571">
          <w:rPr>
            <w:noProof/>
            <w:webHidden/>
          </w:rPr>
          <w:fldChar w:fldCharType="separate"/>
        </w:r>
        <w:r w:rsidR="00817571">
          <w:rPr>
            <w:noProof/>
            <w:webHidden/>
          </w:rPr>
          <w:t>10</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90" w:history="1">
        <w:r w:rsidR="00817571" w:rsidRPr="00BD4CC6">
          <w:rPr>
            <w:rStyle w:val="Hyperlink"/>
            <w:rFonts w:ascii="Times New Roman" w:hAnsi="Times New Roman"/>
            <w:noProof/>
          </w:rPr>
          <w:t>7. Общ размер на средствата по процедурата:</w:t>
        </w:r>
        <w:r w:rsidR="00817571">
          <w:rPr>
            <w:noProof/>
            <w:webHidden/>
          </w:rPr>
          <w:tab/>
        </w:r>
        <w:r w:rsidR="00817571">
          <w:rPr>
            <w:noProof/>
            <w:webHidden/>
          </w:rPr>
          <w:fldChar w:fldCharType="begin"/>
        </w:r>
        <w:r w:rsidR="00817571">
          <w:rPr>
            <w:noProof/>
            <w:webHidden/>
          </w:rPr>
          <w:instrText xml:space="preserve"> PAGEREF _Toc183440890 \h </w:instrText>
        </w:r>
        <w:r w:rsidR="00817571">
          <w:rPr>
            <w:noProof/>
            <w:webHidden/>
          </w:rPr>
        </w:r>
        <w:r w:rsidR="00817571">
          <w:rPr>
            <w:noProof/>
            <w:webHidden/>
          </w:rPr>
          <w:fldChar w:fldCharType="separate"/>
        </w:r>
        <w:r w:rsidR="00817571">
          <w:rPr>
            <w:noProof/>
            <w:webHidden/>
          </w:rPr>
          <w:t>11</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91" w:history="1">
        <w:r w:rsidR="00817571" w:rsidRPr="00BD4CC6">
          <w:rPr>
            <w:rStyle w:val="Hyperlink"/>
            <w:rFonts w:ascii="Times New Roman" w:hAnsi="Times New Roman"/>
            <w:noProof/>
          </w:rPr>
          <w:t>8. Приложим режим на държавни помощи:</w:t>
        </w:r>
        <w:r w:rsidR="00817571">
          <w:rPr>
            <w:noProof/>
            <w:webHidden/>
          </w:rPr>
          <w:tab/>
        </w:r>
        <w:r w:rsidR="00817571">
          <w:rPr>
            <w:noProof/>
            <w:webHidden/>
          </w:rPr>
          <w:fldChar w:fldCharType="begin"/>
        </w:r>
        <w:r w:rsidR="00817571">
          <w:rPr>
            <w:noProof/>
            <w:webHidden/>
          </w:rPr>
          <w:instrText xml:space="preserve"> PAGEREF _Toc183440891 \h </w:instrText>
        </w:r>
        <w:r w:rsidR="00817571">
          <w:rPr>
            <w:noProof/>
            <w:webHidden/>
          </w:rPr>
        </w:r>
        <w:r w:rsidR="00817571">
          <w:rPr>
            <w:noProof/>
            <w:webHidden/>
          </w:rPr>
          <w:fldChar w:fldCharType="separate"/>
        </w:r>
        <w:r w:rsidR="00817571">
          <w:rPr>
            <w:noProof/>
            <w:webHidden/>
          </w:rPr>
          <w:t>11</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92" w:history="1">
        <w:r w:rsidR="00817571" w:rsidRPr="00BD4CC6">
          <w:rPr>
            <w:rStyle w:val="Hyperlink"/>
            <w:rFonts w:ascii="Times New Roman" w:hAnsi="Times New Roman"/>
            <w:noProof/>
          </w:rPr>
          <w:t>9. Минимален и максимален размер на финансирането за изпълнение на инвестиция:</w:t>
        </w:r>
        <w:r w:rsidR="00817571">
          <w:rPr>
            <w:noProof/>
            <w:webHidden/>
          </w:rPr>
          <w:tab/>
        </w:r>
        <w:r w:rsidR="00817571">
          <w:rPr>
            <w:noProof/>
            <w:webHidden/>
          </w:rPr>
          <w:fldChar w:fldCharType="begin"/>
        </w:r>
        <w:r w:rsidR="00817571">
          <w:rPr>
            <w:noProof/>
            <w:webHidden/>
          </w:rPr>
          <w:instrText xml:space="preserve"> PAGEREF _Toc183440892 \h </w:instrText>
        </w:r>
        <w:r w:rsidR="00817571">
          <w:rPr>
            <w:noProof/>
            <w:webHidden/>
          </w:rPr>
        </w:r>
        <w:r w:rsidR="00817571">
          <w:rPr>
            <w:noProof/>
            <w:webHidden/>
          </w:rPr>
          <w:fldChar w:fldCharType="separate"/>
        </w:r>
        <w:r w:rsidR="00817571">
          <w:rPr>
            <w:noProof/>
            <w:webHidden/>
          </w:rPr>
          <w:t>13</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93" w:history="1">
        <w:r w:rsidR="00817571" w:rsidRPr="00BD4CC6">
          <w:rPr>
            <w:rStyle w:val="Hyperlink"/>
            <w:rFonts w:ascii="Times New Roman" w:hAnsi="Times New Roman"/>
            <w:noProof/>
          </w:rPr>
          <w:t>10. Процент на финансиране</w:t>
        </w:r>
        <w:r w:rsidR="00817571">
          <w:rPr>
            <w:noProof/>
            <w:webHidden/>
          </w:rPr>
          <w:tab/>
        </w:r>
        <w:r w:rsidR="00817571">
          <w:rPr>
            <w:noProof/>
            <w:webHidden/>
          </w:rPr>
          <w:fldChar w:fldCharType="begin"/>
        </w:r>
        <w:r w:rsidR="00817571">
          <w:rPr>
            <w:noProof/>
            <w:webHidden/>
          </w:rPr>
          <w:instrText xml:space="preserve"> PAGEREF _Toc183440893 \h </w:instrText>
        </w:r>
        <w:r w:rsidR="00817571">
          <w:rPr>
            <w:noProof/>
            <w:webHidden/>
          </w:rPr>
        </w:r>
        <w:r w:rsidR="00817571">
          <w:rPr>
            <w:noProof/>
            <w:webHidden/>
          </w:rPr>
          <w:fldChar w:fldCharType="separate"/>
        </w:r>
        <w:r w:rsidR="00817571">
          <w:rPr>
            <w:noProof/>
            <w:webHidden/>
          </w:rPr>
          <w:t>14</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94" w:history="1">
        <w:r w:rsidR="00817571" w:rsidRPr="00BD4CC6">
          <w:rPr>
            <w:rStyle w:val="Hyperlink"/>
            <w:rFonts w:ascii="Times New Roman" w:hAnsi="Times New Roman"/>
            <w:noProof/>
          </w:rPr>
          <w:t>11. Допустими кандидати:</w:t>
        </w:r>
        <w:r w:rsidR="00817571">
          <w:rPr>
            <w:noProof/>
            <w:webHidden/>
          </w:rPr>
          <w:tab/>
        </w:r>
        <w:r w:rsidR="00817571">
          <w:rPr>
            <w:noProof/>
            <w:webHidden/>
          </w:rPr>
          <w:fldChar w:fldCharType="begin"/>
        </w:r>
        <w:r w:rsidR="00817571">
          <w:rPr>
            <w:noProof/>
            <w:webHidden/>
          </w:rPr>
          <w:instrText xml:space="preserve"> PAGEREF _Toc183440894 \h </w:instrText>
        </w:r>
        <w:r w:rsidR="00817571">
          <w:rPr>
            <w:noProof/>
            <w:webHidden/>
          </w:rPr>
        </w:r>
        <w:r w:rsidR="00817571">
          <w:rPr>
            <w:noProof/>
            <w:webHidden/>
          </w:rPr>
          <w:fldChar w:fldCharType="separate"/>
        </w:r>
        <w:r w:rsidR="00817571">
          <w:rPr>
            <w:noProof/>
            <w:webHidden/>
          </w:rPr>
          <w:t>15</w:t>
        </w:r>
        <w:r w:rsidR="00817571">
          <w:rPr>
            <w:noProof/>
            <w:webHidden/>
          </w:rPr>
          <w:fldChar w:fldCharType="end"/>
        </w:r>
      </w:hyperlink>
    </w:p>
    <w:p w:rsidR="00817571" w:rsidRDefault="00911AF1">
      <w:pPr>
        <w:pStyle w:val="TOC3"/>
        <w:rPr>
          <w:rFonts w:asciiTheme="minorHAnsi" w:eastAsiaTheme="minorEastAsia" w:hAnsiTheme="minorHAnsi" w:cstheme="minorBidi"/>
          <w:noProof/>
          <w:sz w:val="22"/>
          <w:szCs w:val="22"/>
        </w:rPr>
      </w:pPr>
      <w:hyperlink w:anchor="_Toc183440895" w:history="1">
        <w:r w:rsidR="00817571" w:rsidRPr="00BD4CC6">
          <w:rPr>
            <w:rStyle w:val="Hyperlink"/>
            <w:rFonts w:ascii="Times New Roman" w:hAnsi="Times New Roman"/>
            <w:noProof/>
          </w:rPr>
          <w:t>11.1 Критерии за допустимост на кандидатите</w:t>
        </w:r>
        <w:r w:rsidR="00817571">
          <w:rPr>
            <w:noProof/>
            <w:webHidden/>
          </w:rPr>
          <w:tab/>
        </w:r>
        <w:r w:rsidR="00817571">
          <w:rPr>
            <w:noProof/>
            <w:webHidden/>
          </w:rPr>
          <w:fldChar w:fldCharType="begin"/>
        </w:r>
        <w:r w:rsidR="00817571">
          <w:rPr>
            <w:noProof/>
            <w:webHidden/>
          </w:rPr>
          <w:instrText xml:space="preserve"> PAGEREF _Toc183440895 \h </w:instrText>
        </w:r>
        <w:r w:rsidR="00817571">
          <w:rPr>
            <w:noProof/>
            <w:webHidden/>
          </w:rPr>
        </w:r>
        <w:r w:rsidR="00817571">
          <w:rPr>
            <w:noProof/>
            <w:webHidden/>
          </w:rPr>
          <w:fldChar w:fldCharType="separate"/>
        </w:r>
        <w:r w:rsidR="00817571">
          <w:rPr>
            <w:noProof/>
            <w:webHidden/>
          </w:rPr>
          <w:t>15</w:t>
        </w:r>
        <w:r w:rsidR="00817571">
          <w:rPr>
            <w:noProof/>
            <w:webHidden/>
          </w:rPr>
          <w:fldChar w:fldCharType="end"/>
        </w:r>
      </w:hyperlink>
    </w:p>
    <w:p w:rsidR="00817571" w:rsidRDefault="00911AF1">
      <w:pPr>
        <w:pStyle w:val="TOC3"/>
        <w:rPr>
          <w:rFonts w:asciiTheme="minorHAnsi" w:eastAsiaTheme="minorEastAsia" w:hAnsiTheme="minorHAnsi" w:cstheme="minorBidi"/>
          <w:noProof/>
          <w:sz w:val="22"/>
          <w:szCs w:val="22"/>
        </w:rPr>
      </w:pPr>
      <w:hyperlink w:anchor="_Toc183440896" w:history="1">
        <w:r w:rsidR="00817571" w:rsidRPr="00BD4CC6">
          <w:rPr>
            <w:rStyle w:val="Hyperlink"/>
            <w:rFonts w:ascii="Times New Roman" w:hAnsi="Times New Roman"/>
            <w:noProof/>
          </w:rPr>
          <w:t>11.2. Критерии за недопустимост на кандидатите</w:t>
        </w:r>
        <w:r w:rsidR="00817571">
          <w:rPr>
            <w:noProof/>
            <w:webHidden/>
          </w:rPr>
          <w:tab/>
        </w:r>
        <w:r w:rsidR="00817571">
          <w:rPr>
            <w:noProof/>
            <w:webHidden/>
          </w:rPr>
          <w:fldChar w:fldCharType="begin"/>
        </w:r>
        <w:r w:rsidR="00817571">
          <w:rPr>
            <w:noProof/>
            <w:webHidden/>
          </w:rPr>
          <w:instrText xml:space="preserve"> PAGEREF _Toc183440896 \h </w:instrText>
        </w:r>
        <w:r w:rsidR="00817571">
          <w:rPr>
            <w:noProof/>
            <w:webHidden/>
          </w:rPr>
        </w:r>
        <w:r w:rsidR="00817571">
          <w:rPr>
            <w:noProof/>
            <w:webHidden/>
          </w:rPr>
          <w:fldChar w:fldCharType="separate"/>
        </w:r>
        <w:r w:rsidR="00817571">
          <w:rPr>
            <w:noProof/>
            <w:webHidden/>
          </w:rPr>
          <w:t>19</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97" w:history="1">
        <w:r w:rsidR="00817571" w:rsidRPr="00BD4CC6">
          <w:rPr>
            <w:rStyle w:val="Hyperlink"/>
            <w:rFonts w:ascii="Times New Roman" w:hAnsi="Times New Roman"/>
            <w:noProof/>
          </w:rPr>
          <w:t>12. Допустими партньори:</w:t>
        </w:r>
        <w:r w:rsidR="00817571">
          <w:rPr>
            <w:noProof/>
            <w:webHidden/>
          </w:rPr>
          <w:tab/>
        </w:r>
        <w:r w:rsidR="00817571">
          <w:rPr>
            <w:noProof/>
            <w:webHidden/>
          </w:rPr>
          <w:fldChar w:fldCharType="begin"/>
        </w:r>
        <w:r w:rsidR="00817571">
          <w:rPr>
            <w:noProof/>
            <w:webHidden/>
          </w:rPr>
          <w:instrText xml:space="preserve"> PAGEREF _Toc183440897 \h </w:instrText>
        </w:r>
        <w:r w:rsidR="00817571">
          <w:rPr>
            <w:noProof/>
            <w:webHidden/>
          </w:rPr>
        </w:r>
        <w:r w:rsidR="00817571">
          <w:rPr>
            <w:noProof/>
            <w:webHidden/>
          </w:rPr>
          <w:fldChar w:fldCharType="separate"/>
        </w:r>
        <w:r w:rsidR="00817571">
          <w:rPr>
            <w:noProof/>
            <w:webHidden/>
          </w:rPr>
          <w:t>25</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898" w:history="1">
        <w:r w:rsidR="00817571" w:rsidRPr="00BD4CC6">
          <w:rPr>
            <w:rStyle w:val="Hyperlink"/>
            <w:rFonts w:ascii="Times New Roman" w:hAnsi="Times New Roman"/>
            <w:noProof/>
          </w:rPr>
          <w:t>13. Дейности, допустими за финансиране:</w:t>
        </w:r>
        <w:r w:rsidR="00817571">
          <w:rPr>
            <w:noProof/>
            <w:webHidden/>
          </w:rPr>
          <w:tab/>
        </w:r>
        <w:r w:rsidR="00817571">
          <w:rPr>
            <w:noProof/>
            <w:webHidden/>
          </w:rPr>
          <w:fldChar w:fldCharType="begin"/>
        </w:r>
        <w:r w:rsidR="00817571">
          <w:rPr>
            <w:noProof/>
            <w:webHidden/>
          </w:rPr>
          <w:instrText xml:space="preserve"> PAGEREF _Toc183440898 \h </w:instrText>
        </w:r>
        <w:r w:rsidR="00817571">
          <w:rPr>
            <w:noProof/>
            <w:webHidden/>
          </w:rPr>
        </w:r>
        <w:r w:rsidR="00817571">
          <w:rPr>
            <w:noProof/>
            <w:webHidden/>
          </w:rPr>
          <w:fldChar w:fldCharType="separate"/>
        </w:r>
        <w:r w:rsidR="00817571">
          <w:rPr>
            <w:noProof/>
            <w:webHidden/>
          </w:rPr>
          <w:t>25</w:t>
        </w:r>
        <w:r w:rsidR="00817571">
          <w:rPr>
            <w:noProof/>
            <w:webHidden/>
          </w:rPr>
          <w:fldChar w:fldCharType="end"/>
        </w:r>
      </w:hyperlink>
    </w:p>
    <w:p w:rsidR="00817571" w:rsidRDefault="00911AF1">
      <w:pPr>
        <w:pStyle w:val="TOC3"/>
        <w:rPr>
          <w:rFonts w:asciiTheme="minorHAnsi" w:eastAsiaTheme="minorEastAsia" w:hAnsiTheme="minorHAnsi" w:cstheme="minorBidi"/>
          <w:noProof/>
          <w:sz w:val="22"/>
          <w:szCs w:val="22"/>
        </w:rPr>
      </w:pPr>
      <w:hyperlink w:anchor="_Toc183440899" w:history="1">
        <w:r w:rsidR="00817571" w:rsidRPr="00BD4CC6">
          <w:rPr>
            <w:rStyle w:val="Hyperlink"/>
            <w:rFonts w:ascii="Times New Roman" w:hAnsi="Times New Roman"/>
            <w:noProof/>
          </w:rPr>
          <w:t>13.1. Допустими дейности</w:t>
        </w:r>
        <w:r w:rsidR="00817571">
          <w:rPr>
            <w:noProof/>
            <w:webHidden/>
          </w:rPr>
          <w:tab/>
        </w:r>
        <w:r w:rsidR="00817571">
          <w:rPr>
            <w:noProof/>
            <w:webHidden/>
          </w:rPr>
          <w:fldChar w:fldCharType="begin"/>
        </w:r>
        <w:r w:rsidR="00817571">
          <w:rPr>
            <w:noProof/>
            <w:webHidden/>
          </w:rPr>
          <w:instrText xml:space="preserve"> PAGEREF _Toc183440899 \h </w:instrText>
        </w:r>
        <w:r w:rsidR="00817571">
          <w:rPr>
            <w:noProof/>
            <w:webHidden/>
          </w:rPr>
        </w:r>
        <w:r w:rsidR="00817571">
          <w:rPr>
            <w:noProof/>
            <w:webHidden/>
          </w:rPr>
          <w:fldChar w:fldCharType="separate"/>
        </w:r>
        <w:r w:rsidR="00817571">
          <w:rPr>
            <w:noProof/>
            <w:webHidden/>
          </w:rPr>
          <w:t>25</w:t>
        </w:r>
        <w:r w:rsidR="00817571">
          <w:rPr>
            <w:noProof/>
            <w:webHidden/>
          </w:rPr>
          <w:fldChar w:fldCharType="end"/>
        </w:r>
      </w:hyperlink>
    </w:p>
    <w:p w:rsidR="00817571" w:rsidRDefault="00911AF1">
      <w:pPr>
        <w:pStyle w:val="TOC3"/>
        <w:rPr>
          <w:rFonts w:asciiTheme="minorHAnsi" w:eastAsiaTheme="minorEastAsia" w:hAnsiTheme="minorHAnsi" w:cstheme="minorBidi"/>
          <w:noProof/>
          <w:sz w:val="22"/>
          <w:szCs w:val="22"/>
        </w:rPr>
      </w:pPr>
      <w:hyperlink w:anchor="_Toc183440900" w:history="1">
        <w:r w:rsidR="00817571" w:rsidRPr="00BD4CC6">
          <w:rPr>
            <w:rStyle w:val="Hyperlink"/>
            <w:rFonts w:ascii="Times New Roman" w:hAnsi="Times New Roman"/>
            <w:noProof/>
          </w:rPr>
          <w:t>13.2. Недопустими дейности</w:t>
        </w:r>
        <w:r w:rsidR="00817571">
          <w:rPr>
            <w:noProof/>
            <w:webHidden/>
          </w:rPr>
          <w:tab/>
        </w:r>
        <w:r w:rsidR="00817571">
          <w:rPr>
            <w:noProof/>
            <w:webHidden/>
          </w:rPr>
          <w:fldChar w:fldCharType="begin"/>
        </w:r>
        <w:r w:rsidR="00817571">
          <w:rPr>
            <w:noProof/>
            <w:webHidden/>
          </w:rPr>
          <w:instrText xml:space="preserve"> PAGEREF _Toc183440900 \h </w:instrText>
        </w:r>
        <w:r w:rsidR="00817571">
          <w:rPr>
            <w:noProof/>
            <w:webHidden/>
          </w:rPr>
        </w:r>
        <w:r w:rsidR="00817571">
          <w:rPr>
            <w:noProof/>
            <w:webHidden/>
          </w:rPr>
          <w:fldChar w:fldCharType="separate"/>
        </w:r>
        <w:r w:rsidR="00817571">
          <w:rPr>
            <w:noProof/>
            <w:webHidden/>
          </w:rPr>
          <w:t>27</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01" w:history="1">
        <w:r w:rsidR="00817571" w:rsidRPr="00BD4CC6">
          <w:rPr>
            <w:rStyle w:val="Hyperlink"/>
            <w:rFonts w:ascii="Times New Roman" w:hAnsi="Times New Roman"/>
            <w:noProof/>
          </w:rPr>
          <w:t>14. Категории разходи, допустими за финансиране:</w:t>
        </w:r>
        <w:r w:rsidR="00817571">
          <w:rPr>
            <w:noProof/>
            <w:webHidden/>
          </w:rPr>
          <w:tab/>
        </w:r>
        <w:r w:rsidR="00817571">
          <w:rPr>
            <w:noProof/>
            <w:webHidden/>
          </w:rPr>
          <w:fldChar w:fldCharType="begin"/>
        </w:r>
        <w:r w:rsidR="00817571">
          <w:rPr>
            <w:noProof/>
            <w:webHidden/>
          </w:rPr>
          <w:instrText xml:space="preserve"> PAGEREF _Toc183440901 \h </w:instrText>
        </w:r>
        <w:r w:rsidR="00817571">
          <w:rPr>
            <w:noProof/>
            <w:webHidden/>
          </w:rPr>
        </w:r>
        <w:r w:rsidR="00817571">
          <w:rPr>
            <w:noProof/>
            <w:webHidden/>
          </w:rPr>
          <w:fldChar w:fldCharType="separate"/>
        </w:r>
        <w:r w:rsidR="00817571">
          <w:rPr>
            <w:noProof/>
            <w:webHidden/>
          </w:rPr>
          <w:t>28</w:t>
        </w:r>
        <w:r w:rsidR="00817571">
          <w:rPr>
            <w:noProof/>
            <w:webHidden/>
          </w:rPr>
          <w:fldChar w:fldCharType="end"/>
        </w:r>
      </w:hyperlink>
    </w:p>
    <w:p w:rsidR="00817571" w:rsidRDefault="00911AF1">
      <w:pPr>
        <w:pStyle w:val="TOC3"/>
        <w:rPr>
          <w:rFonts w:asciiTheme="minorHAnsi" w:eastAsiaTheme="minorEastAsia" w:hAnsiTheme="minorHAnsi" w:cstheme="minorBidi"/>
          <w:noProof/>
          <w:sz w:val="22"/>
          <w:szCs w:val="22"/>
        </w:rPr>
      </w:pPr>
      <w:hyperlink w:anchor="_Toc183440902" w:history="1">
        <w:r w:rsidR="00817571" w:rsidRPr="00BD4CC6">
          <w:rPr>
            <w:rStyle w:val="Hyperlink"/>
            <w:rFonts w:ascii="Times New Roman" w:hAnsi="Times New Roman"/>
            <w:noProof/>
          </w:rPr>
          <w:t>14.1. Условия за допустимост на разходите</w:t>
        </w:r>
        <w:r w:rsidR="00817571">
          <w:rPr>
            <w:noProof/>
            <w:webHidden/>
          </w:rPr>
          <w:tab/>
        </w:r>
        <w:r w:rsidR="00817571">
          <w:rPr>
            <w:noProof/>
            <w:webHidden/>
          </w:rPr>
          <w:fldChar w:fldCharType="begin"/>
        </w:r>
        <w:r w:rsidR="00817571">
          <w:rPr>
            <w:noProof/>
            <w:webHidden/>
          </w:rPr>
          <w:instrText xml:space="preserve"> PAGEREF _Toc183440902 \h </w:instrText>
        </w:r>
        <w:r w:rsidR="00817571">
          <w:rPr>
            <w:noProof/>
            <w:webHidden/>
          </w:rPr>
        </w:r>
        <w:r w:rsidR="00817571">
          <w:rPr>
            <w:noProof/>
            <w:webHidden/>
          </w:rPr>
          <w:fldChar w:fldCharType="separate"/>
        </w:r>
        <w:r w:rsidR="00817571">
          <w:rPr>
            <w:noProof/>
            <w:webHidden/>
          </w:rPr>
          <w:t>28</w:t>
        </w:r>
        <w:r w:rsidR="00817571">
          <w:rPr>
            <w:noProof/>
            <w:webHidden/>
          </w:rPr>
          <w:fldChar w:fldCharType="end"/>
        </w:r>
      </w:hyperlink>
    </w:p>
    <w:p w:rsidR="00817571" w:rsidRDefault="00911AF1">
      <w:pPr>
        <w:pStyle w:val="TOC3"/>
        <w:rPr>
          <w:rFonts w:asciiTheme="minorHAnsi" w:eastAsiaTheme="minorEastAsia" w:hAnsiTheme="minorHAnsi" w:cstheme="minorBidi"/>
          <w:noProof/>
          <w:sz w:val="22"/>
          <w:szCs w:val="22"/>
        </w:rPr>
      </w:pPr>
      <w:hyperlink w:anchor="_Toc183440903" w:history="1">
        <w:r w:rsidR="00817571" w:rsidRPr="00BD4CC6">
          <w:rPr>
            <w:rStyle w:val="Hyperlink"/>
            <w:rFonts w:ascii="Times New Roman" w:hAnsi="Times New Roman"/>
            <w:noProof/>
          </w:rPr>
          <w:t>14.2. Допустими разходи</w:t>
        </w:r>
        <w:r w:rsidR="00817571">
          <w:rPr>
            <w:noProof/>
            <w:webHidden/>
          </w:rPr>
          <w:tab/>
        </w:r>
        <w:r w:rsidR="00817571">
          <w:rPr>
            <w:noProof/>
            <w:webHidden/>
          </w:rPr>
          <w:fldChar w:fldCharType="begin"/>
        </w:r>
        <w:r w:rsidR="00817571">
          <w:rPr>
            <w:noProof/>
            <w:webHidden/>
          </w:rPr>
          <w:instrText xml:space="preserve"> PAGEREF _Toc183440903 \h </w:instrText>
        </w:r>
        <w:r w:rsidR="00817571">
          <w:rPr>
            <w:noProof/>
            <w:webHidden/>
          </w:rPr>
        </w:r>
        <w:r w:rsidR="00817571">
          <w:rPr>
            <w:noProof/>
            <w:webHidden/>
          </w:rPr>
          <w:fldChar w:fldCharType="separate"/>
        </w:r>
        <w:r w:rsidR="00817571">
          <w:rPr>
            <w:noProof/>
            <w:webHidden/>
          </w:rPr>
          <w:t>30</w:t>
        </w:r>
        <w:r w:rsidR="00817571">
          <w:rPr>
            <w:noProof/>
            <w:webHidden/>
          </w:rPr>
          <w:fldChar w:fldCharType="end"/>
        </w:r>
      </w:hyperlink>
    </w:p>
    <w:p w:rsidR="00817571" w:rsidRDefault="00911AF1">
      <w:pPr>
        <w:pStyle w:val="TOC3"/>
        <w:rPr>
          <w:rFonts w:asciiTheme="minorHAnsi" w:eastAsiaTheme="minorEastAsia" w:hAnsiTheme="minorHAnsi" w:cstheme="minorBidi"/>
          <w:noProof/>
          <w:sz w:val="22"/>
          <w:szCs w:val="22"/>
        </w:rPr>
      </w:pPr>
      <w:hyperlink w:anchor="_Toc183440904" w:history="1">
        <w:r w:rsidR="00817571" w:rsidRPr="00BD4CC6">
          <w:rPr>
            <w:rStyle w:val="Hyperlink"/>
            <w:rFonts w:ascii="Times New Roman" w:hAnsi="Times New Roman"/>
            <w:noProof/>
          </w:rPr>
          <w:t>14.3. Недопустими разходи</w:t>
        </w:r>
        <w:r w:rsidR="00817571">
          <w:rPr>
            <w:noProof/>
            <w:webHidden/>
          </w:rPr>
          <w:tab/>
        </w:r>
        <w:r w:rsidR="00817571">
          <w:rPr>
            <w:noProof/>
            <w:webHidden/>
          </w:rPr>
          <w:fldChar w:fldCharType="begin"/>
        </w:r>
        <w:r w:rsidR="00817571">
          <w:rPr>
            <w:noProof/>
            <w:webHidden/>
          </w:rPr>
          <w:instrText xml:space="preserve"> PAGEREF _Toc183440904 \h </w:instrText>
        </w:r>
        <w:r w:rsidR="00817571">
          <w:rPr>
            <w:noProof/>
            <w:webHidden/>
          </w:rPr>
        </w:r>
        <w:r w:rsidR="00817571">
          <w:rPr>
            <w:noProof/>
            <w:webHidden/>
          </w:rPr>
          <w:fldChar w:fldCharType="separate"/>
        </w:r>
        <w:r w:rsidR="00817571">
          <w:rPr>
            <w:noProof/>
            <w:webHidden/>
          </w:rPr>
          <w:t>35</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05" w:history="1">
        <w:r w:rsidR="00817571" w:rsidRPr="00BD4CC6">
          <w:rPr>
            <w:rStyle w:val="Hyperlink"/>
            <w:rFonts w:ascii="Times New Roman" w:hAnsi="Times New Roman"/>
            <w:noProof/>
          </w:rPr>
          <w:t>15. Допустими целеви групи:</w:t>
        </w:r>
        <w:r w:rsidR="00817571">
          <w:rPr>
            <w:noProof/>
            <w:webHidden/>
          </w:rPr>
          <w:tab/>
        </w:r>
        <w:r w:rsidR="00817571">
          <w:rPr>
            <w:noProof/>
            <w:webHidden/>
          </w:rPr>
          <w:fldChar w:fldCharType="begin"/>
        </w:r>
        <w:r w:rsidR="00817571">
          <w:rPr>
            <w:noProof/>
            <w:webHidden/>
          </w:rPr>
          <w:instrText xml:space="preserve"> PAGEREF _Toc183440905 \h </w:instrText>
        </w:r>
        <w:r w:rsidR="00817571">
          <w:rPr>
            <w:noProof/>
            <w:webHidden/>
          </w:rPr>
        </w:r>
        <w:r w:rsidR="00817571">
          <w:rPr>
            <w:noProof/>
            <w:webHidden/>
          </w:rPr>
          <w:fldChar w:fldCharType="separate"/>
        </w:r>
        <w:r w:rsidR="00817571">
          <w:rPr>
            <w:noProof/>
            <w:webHidden/>
          </w:rPr>
          <w:t>37</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06" w:history="1">
        <w:r w:rsidR="00817571" w:rsidRPr="00BD4CC6">
          <w:rPr>
            <w:rStyle w:val="Hyperlink"/>
            <w:rFonts w:ascii="Times New Roman" w:hAnsi="Times New Roman"/>
            <w:noProof/>
          </w:rPr>
          <w:t>16. Приложими хоризонтални принципи:</w:t>
        </w:r>
        <w:r w:rsidR="00817571">
          <w:rPr>
            <w:noProof/>
            <w:webHidden/>
          </w:rPr>
          <w:tab/>
        </w:r>
        <w:r w:rsidR="00817571">
          <w:rPr>
            <w:noProof/>
            <w:webHidden/>
          </w:rPr>
          <w:fldChar w:fldCharType="begin"/>
        </w:r>
        <w:r w:rsidR="00817571">
          <w:rPr>
            <w:noProof/>
            <w:webHidden/>
          </w:rPr>
          <w:instrText xml:space="preserve"> PAGEREF _Toc183440906 \h </w:instrText>
        </w:r>
        <w:r w:rsidR="00817571">
          <w:rPr>
            <w:noProof/>
            <w:webHidden/>
          </w:rPr>
        </w:r>
        <w:r w:rsidR="00817571">
          <w:rPr>
            <w:noProof/>
            <w:webHidden/>
          </w:rPr>
          <w:fldChar w:fldCharType="separate"/>
        </w:r>
        <w:r w:rsidR="00817571">
          <w:rPr>
            <w:noProof/>
            <w:webHidden/>
          </w:rPr>
          <w:t>37</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07" w:history="1">
        <w:r w:rsidR="00817571" w:rsidRPr="00BD4CC6">
          <w:rPr>
            <w:rStyle w:val="Hyperlink"/>
            <w:rFonts w:ascii="Times New Roman" w:hAnsi="Times New Roman"/>
            <w:noProof/>
          </w:rPr>
          <w:t>17. Максимален срок за изпълнение на предложението за изпълнение на инвестиция:</w:t>
        </w:r>
        <w:r w:rsidR="00817571">
          <w:rPr>
            <w:noProof/>
            <w:webHidden/>
          </w:rPr>
          <w:tab/>
        </w:r>
        <w:r w:rsidR="00817571">
          <w:rPr>
            <w:noProof/>
            <w:webHidden/>
          </w:rPr>
          <w:fldChar w:fldCharType="begin"/>
        </w:r>
        <w:r w:rsidR="00817571">
          <w:rPr>
            <w:noProof/>
            <w:webHidden/>
          </w:rPr>
          <w:instrText xml:space="preserve"> PAGEREF _Toc183440907 \h </w:instrText>
        </w:r>
        <w:r w:rsidR="00817571">
          <w:rPr>
            <w:noProof/>
            <w:webHidden/>
          </w:rPr>
        </w:r>
        <w:r w:rsidR="00817571">
          <w:rPr>
            <w:noProof/>
            <w:webHidden/>
          </w:rPr>
          <w:fldChar w:fldCharType="separate"/>
        </w:r>
        <w:r w:rsidR="00817571">
          <w:rPr>
            <w:noProof/>
            <w:webHidden/>
          </w:rPr>
          <w:t>39</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08" w:history="1">
        <w:r w:rsidR="00817571" w:rsidRPr="00BD4CC6">
          <w:rPr>
            <w:rStyle w:val="Hyperlink"/>
            <w:rFonts w:ascii="Times New Roman" w:hAnsi="Times New Roman"/>
            <w:noProof/>
          </w:rPr>
          <w:t>18. Ред за оценяване на предложенията за изпълнение на инвестиция:</w:t>
        </w:r>
        <w:r w:rsidR="00817571">
          <w:rPr>
            <w:noProof/>
            <w:webHidden/>
          </w:rPr>
          <w:tab/>
        </w:r>
        <w:r w:rsidR="00817571">
          <w:rPr>
            <w:noProof/>
            <w:webHidden/>
          </w:rPr>
          <w:fldChar w:fldCharType="begin"/>
        </w:r>
        <w:r w:rsidR="00817571">
          <w:rPr>
            <w:noProof/>
            <w:webHidden/>
          </w:rPr>
          <w:instrText xml:space="preserve"> PAGEREF _Toc183440908 \h </w:instrText>
        </w:r>
        <w:r w:rsidR="00817571">
          <w:rPr>
            <w:noProof/>
            <w:webHidden/>
          </w:rPr>
        </w:r>
        <w:r w:rsidR="00817571">
          <w:rPr>
            <w:noProof/>
            <w:webHidden/>
          </w:rPr>
          <w:fldChar w:fldCharType="separate"/>
        </w:r>
        <w:r w:rsidR="00817571">
          <w:rPr>
            <w:noProof/>
            <w:webHidden/>
          </w:rPr>
          <w:t>39</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09" w:history="1">
        <w:r w:rsidR="00817571" w:rsidRPr="00BD4CC6">
          <w:rPr>
            <w:rStyle w:val="Hyperlink"/>
            <w:rFonts w:ascii="Times New Roman" w:hAnsi="Times New Roman"/>
            <w:noProof/>
          </w:rPr>
          <w:t>19. Начин на подаване на предложенията за изпълнение на инвестиция:</w:t>
        </w:r>
        <w:r w:rsidR="00817571">
          <w:rPr>
            <w:noProof/>
            <w:webHidden/>
          </w:rPr>
          <w:tab/>
        </w:r>
        <w:r w:rsidR="00817571">
          <w:rPr>
            <w:noProof/>
            <w:webHidden/>
          </w:rPr>
          <w:fldChar w:fldCharType="begin"/>
        </w:r>
        <w:r w:rsidR="00817571">
          <w:rPr>
            <w:noProof/>
            <w:webHidden/>
          </w:rPr>
          <w:instrText xml:space="preserve"> PAGEREF _Toc183440909 \h </w:instrText>
        </w:r>
        <w:r w:rsidR="00817571">
          <w:rPr>
            <w:noProof/>
            <w:webHidden/>
          </w:rPr>
        </w:r>
        <w:r w:rsidR="00817571">
          <w:rPr>
            <w:noProof/>
            <w:webHidden/>
          </w:rPr>
          <w:fldChar w:fldCharType="separate"/>
        </w:r>
        <w:r w:rsidR="00817571">
          <w:rPr>
            <w:noProof/>
            <w:webHidden/>
          </w:rPr>
          <w:t>46</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10" w:history="1">
        <w:r w:rsidR="00817571" w:rsidRPr="00BD4CC6">
          <w:rPr>
            <w:rStyle w:val="Hyperlink"/>
            <w:rFonts w:ascii="Times New Roman" w:hAnsi="Times New Roman"/>
            <w:noProof/>
          </w:rPr>
          <w:t>20. Списък на документите, които се подават на етап кандидатстване:</w:t>
        </w:r>
        <w:r w:rsidR="00817571">
          <w:rPr>
            <w:noProof/>
            <w:webHidden/>
          </w:rPr>
          <w:tab/>
        </w:r>
        <w:r w:rsidR="00817571">
          <w:rPr>
            <w:noProof/>
            <w:webHidden/>
          </w:rPr>
          <w:fldChar w:fldCharType="begin"/>
        </w:r>
        <w:r w:rsidR="00817571">
          <w:rPr>
            <w:noProof/>
            <w:webHidden/>
          </w:rPr>
          <w:instrText xml:space="preserve"> PAGEREF _Toc183440910 \h </w:instrText>
        </w:r>
        <w:r w:rsidR="00817571">
          <w:rPr>
            <w:noProof/>
            <w:webHidden/>
          </w:rPr>
        </w:r>
        <w:r w:rsidR="00817571">
          <w:rPr>
            <w:noProof/>
            <w:webHidden/>
          </w:rPr>
          <w:fldChar w:fldCharType="separate"/>
        </w:r>
        <w:r w:rsidR="00817571">
          <w:rPr>
            <w:noProof/>
            <w:webHidden/>
          </w:rPr>
          <w:t>49</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11" w:history="1">
        <w:r w:rsidR="00817571" w:rsidRPr="00BD4CC6">
          <w:rPr>
            <w:rStyle w:val="Hyperlink"/>
            <w:rFonts w:ascii="Times New Roman" w:hAnsi="Times New Roman"/>
            <w:noProof/>
          </w:rPr>
          <w:t>21. Краен срок за подаване на предложенията за изпълнение на инвестиция:</w:t>
        </w:r>
        <w:r w:rsidR="00817571">
          <w:rPr>
            <w:noProof/>
            <w:webHidden/>
          </w:rPr>
          <w:tab/>
        </w:r>
        <w:r w:rsidR="00817571">
          <w:rPr>
            <w:noProof/>
            <w:webHidden/>
          </w:rPr>
          <w:fldChar w:fldCharType="begin"/>
        </w:r>
        <w:r w:rsidR="00817571">
          <w:rPr>
            <w:noProof/>
            <w:webHidden/>
          </w:rPr>
          <w:instrText xml:space="preserve"> PAGEREF _Toc183440911 \h </w:instrText>
        </w:r>
        <w:r w:rsidR="00817571">
          <w:rPr>
            <w:noProof/>
            <w:webHidden/>
          </w:rPr>
        </w:r>
        <w:r w:rsidR="00817571">
          <w:rPr>
            <w:noProof/>
            <w:webHidden/>
          </w:rPr>
          <w:fldChar w:fldCharType="separate"/>
        </w:r>
        <w:r w:rsidR="00817571">
          <w:rPr>
            <w:noProof/>
            <w:webHidden/>
          </w:rPr>
          <w:t>52</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12" w:history="1">
        <w:r w:rsidR="00817571" w:rsidRPr="00BD4CC6">
          <w:rPr>
            <w:rStyle w:val="Hyperlink"/>
            <w:rFonts w:ascii="Times New Roman" w:hAnsi="Times New Roman"/>
            <w:noProof/>
          </w:rPr>
          <w:t>22. Адрес за подаване на предложенията за изпълнение на инвестиция</w:t>
        </w:r>
        <w:r w:rsidR="00817571">
          <w:rPr>
            <w:noProof/>
            <w:webHidden/>
          </w:rPr>
          <w:tab/>
        </w:r>
        <w:r w:rsidR="00817571">
          <w:rPr>
            <w:noProof/>
            <w:webHidden/>
          </w:rPr>
          <w:fldChar w:fldCharType="begin"/>
        </w:r>
        <w:r w:rsidR="00817571">
          <w:rPr>
            <w:noProof/>
            <w:webHidden/>
          </w:rPr>
          <w:instrText xml:space="preserve"> PAGEREF _Toc183440912 \h </w:instrText>
        </w:r>
        <w:r w:rsidR="00817571">
          <w:rPr>
            <w:noProof/>
            <w:webHidden/>
          </w:rPr>
        </w:r>
        <w:r w:rsidR="00817571">
          <w:rPr>
            <w:noProof/>
            <w:webHidden/>
          </w:rPr>
          <w:fldChar w:fldCharType="separate"/>
        </w:r>
        <w:r w:rsidR="00817571">
          <w:rPr>
            <w:noProof/>
            <w:webHidden/>
          </w:rPr>
          <w:t>52</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13" w:history="1">
        <w:r w:rsidR="00817571" w:rsidRPr="00BD4CC6">
          <w:rPr>
            <w:rStyle w:val="Hyperlink"/>
            <w:rFonts w:ascii="Times New Roman" w:hAnsi="Times New Roman"/>
            <w:noProof/>
          </w:rPr>
          <w:t>23. Допълнителна информация:</w:t>
        </w:r>
        <w:r w:rsidR="00817571">
          <w:rPr>
            <w:noProof/>
            <w:webHidden/>
          </w:rPr>
          <w:tab/>
        </w:r>
        <w:r w:rsidR="00817571">
          <w:rPr>
            <w:noProof/>
            <w:webHidden/>
          </w:rPr>
          <w:fldChar w:fldCharType="begin"/>
        </w:r>
        <w:r w:rsidR="00817571">
          <w:rPr>
            <w:noProof/>
            <w:webHidden/>
          </w:rPr>
          <w:instrText xml:space="preserve"> PAGEREF _Toc183440913 \h </w:instrText>
        </w:r>
        <w:r w:rsidR="00817571">
          <w:rPr>
            <w:noProof/>
            <w:webHidden/>
          </w:rPr>
        </w:r>
        <w:r w:rsidR="00817571">
          <w:rPr>
            <w:noProof/>
            <w:webHidden/>
          </w:rPr>
          <w:fldChar w:fldCharType="separate"/>
        </w:r>
        <w:r w:rsidR="00817571">
          <w:rPr>
            <w:noProof/>
            <w:webHidden/>
          </w:rPr>
          <w:t>52</w:t>
        </w:r>
        <w:r w:rsidR="00817571">
          <w:rPr>
            <w:noProof/>
            <w:webHidden/>
          </w:rPr>
          <w:fldChar w:fldCharType="end"/>
        </w:r>
      </w:hyperlink>
    </w:p>
    <w:p w:rsidR="00817571" w:rsidRDefault="00911AF1">
      <w:pPr>
        <w:pStyle w:val="TOC3"/>
        <w:rPr>
          <w:rFonts w:asciiTheme="minorHAnsi" w:eastAsiaTheme="minorEastAsia" w:hAnsiTheme="minorHAnsi" w:cstheme="minorBidi"/>
          <w:noProof/>
          <w:sz w:val="22"/>
          <w:szCs w:val="22"/>
        </w:rPr>
      </w:pPr>
      <w:hyperlink w:anchor="_Toc183440914" w:history="1">
        <w:r w:rsidR="00817571" w:rsidRPr="00BD4CC6">
          <w:rPr>
            <w:rStyle w:val="Hyperlink"/>
            <w:rFonts w:ascii="Times New Roman" w:hAnsi="Times New Roman"/>
            <w:noProof/>
          </w:rPr>
          <w:t>23.1. Процедура за уведомяване на неуспелите кандидати:</w:t>
        </w:r>
        <w:r w:rsidR="00817571">
          <w:rPr>
            <w:noProof/>
            <w:webHidden/>
          </w:rPr>
          <w:tab/>
        </w:r>
        <w:r w:rsidR="00817571">
          <w:rPr>
            <w:noProof/>
            <w:webHidden/>
          </w:rPr>
          <w:fldChar w:fldCharType="begin"/>
        </w:r>
        <w:r w:rsidR="00817571">
          <w:rPr>
            <w:noProof/>
            <w:webHidden/>
          </w:rPr>
          <w:instrText xml:space="preserve"> PAGEREF _Toc183440914 \h </w:instrText>
        </w:r>
        <w:r w:rsidR="00817571">
          <w:rPr>
            <w:noProof/>
            <w:webHidden/>
          </w:rPr>
        </w:r>
        <w:r w:rsidR="00817571">
          <w:rPr>
            <w:noProof/>
            <w:webHidden/>
          </w:rPr>
          <w:fldChar w:fldCharType="separate"/>
        </w:r>
        <w:r w:rsidR="00817571">
          <w:rPr>
            <w:noProof/>
            <w:webHidden/>
          </w:rPr>
          <w:t>52</w:t>
        </w:r>
        <w:r w:rsidR="00817571">
          <w:rPr>
            <w:noProof/>
            <w:webHidden/>
          </w:rPr>
          <w:fldChar w:fldCharType="end"/>
        </w:r>
      </w:hyperlink>
    </w:p>
    <w:p w:rsidR="00817571" w:rsidRDefault="00911AF1">
      <w:pPr>
        <w:pStyle w:val="TOC3"/>
        <w:rPr>
          <w:rFonts w:asciiTheme="minorHAnsi" w:eastAsiaTheme="minorEastAsia" w:hAnsiTheme="minorHAnsi" w:cstheme="minorBidi"/>
          <w:noProof/>
          <w:sz w:val="22"/>
          <w:szCs w:val="22"/>
        </w:rPr>
      </w:pPr>
      <w:hyperlink w:anchor="_Toc183440915" w:history="1">
        <w:r w:rsidR="00817571" w:rsidRPr="00BD4CC6">
          <w:rPr>
            <w:rStyle w:val="Hyperlink"/>
            <w:rFonts w:ascii="Times New Roman" w:hAnsi="Times New Roman"/>
            <w:noProof/>
          </w:rPr>
          <w:t>23.2. Процедура за сключване на договори за финансиране с крайните получатели и издаване на откази за предоставяне на средства</w:t>
        </w:r>
        <w:r w:rsidR="00817571">
          <w:rPr>
            <w:noProof/>
            <w:webHidden/>
          </w:rPr>
          <w:tab/>
        </w:r>
        <w:r w:rsidR="00817571">
          <w:rPr>
            <w:noProof/>
            <w:webHidden/>
          </w:rPr>
          <w:fldChar w:fldCharType="begin"/>
        </w:r>
        <w:r w:rsidR="00817571">
          <w:rPr>
            <w:noProof/>
            <w:webHidden/>
          </w:rPr>
          <w:instrText xml:space="preserve"> PAGEREF _Toc183440915 \h </w:instrText>
        </w:r>
        <w:r w:rsidR="00817571">
          <w:rPr>
            <w:noProof/>
            <w:webHidden/>
          </w:rPr>
        </w:r>
        <w:r w:rsidR="00817571">
          <w:rPr>
            <w:noProof/>
            <w:webHidden/>
          </w:rPr>
          <w:fldChar w:fldCharType="separate"/>
        </w:r>
        <w:r w:rsidR="00817571">
          <w:rPr>
            <w:noProof/>
            <w:webHidden/>
          </w:rPr>
          <w:t>53</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16" w:history="1">
        <w:r w:rsidR="00817571" w:rsidRPr="00BD4CC6">
          <w:rPr>
            <w:rStyle w:val="Hyperlink"/>
            <w:rFonts w:ascii="Times New Roman" w:hAnsi="Times New Roman"/>
            <w:noProof/>
          </w:rPr>
          <w:t>24. Приложения към Условията за кандидатстване:</w:t>
        </w:r>
        <w:r w:rsidR="00817571">
          <w:rPr>
            <w:noProof/>
            <w:webHidden/>
          </w:rPr>
          <w:tab/>
        </w:r>
        <w:r w:rsidR="00817571">
          <w:rPr>
            <w:noProof/>
            <w:webHidden/>
          </w:rPr>
          <w:fldChar w:fldCharType="begin"/>
        </w:r>
        <w:r w:rsidR="00817571">
          <w:rPr>
            <w:noProof/>
            <w:webHidden/>
          </w:rPr>
          <w:instrText xml:space="preserve"> PAGEREF _Toc183440916 \h </w:instrText>
        </w:r>
        <w:r w:rsidR="00817571">
          <w:rPr>
            <w:noProof/>
            <w:webHidden/>
          </w:rPr>
        </w:r>
        <w:r w:rsidR="00817571">
          <w:rPr>
            <w:noProof/>
            <w:webHidden/>
          </w:rPr>
          <w:fldChar w:fldCharType="separate"/>
        </w:r>
        <w:r w:rsidR="00817571">
          <w:rPr>
            <w:noProof/>
            <w:webHidden/>
          </w:rPr>
          <w:t>60</w:t>
        </w:r>
        <w:r w:rsidR="00817571">
          <w:rPr>
            <w:noProof/>
            <w:webHidden/>
          </w:rPr>
          <w:fldChar w:fldCharType="end"/>
        </w:r>
      </w:hyperlink>
    </w:p>
    <w:p w:rsidR="00817571" w:rsidRDefault="00911AF1">
      <w:pPr>
        <w:pStyle w:val="TOC2"/>
        <w:rPr>
          <w:rFonts w:asciiTheme="minorHAnsi" w:eastAsiaTheme="minorEastAsia" w:hAnsiTheme="minorHAnsi" w:cstheme="minorBidi"/>
          <w:noProof/>
          <w:sz w:val="22"/>
          <w:szCs w:val="22"/>
        </w:rPr>
      </w:pPr>
      <w:hyperlink w:anchor="_Toc183440917" w:history="1">
        <w:r w:rsidR="00817571" w:rsidRPr="00BD4CC6">
          <w:rPr>
            <w:rStyle w:val="Hyperlink"/>
            <w:rFonts w:ascii="Times New Roman" w:hAnsi="Times New Roman"/>
            <w:noProof/>
          </w:rPr>
          <w:t>25. Списък на използваните съкращения:</w:t>
        </w:r>
        <w:r w:rsidR="00817571">
          <w:rPr>
            <w:noProof/>
            <w:webHidden/>
          </w:rPr>
          <w:tab/>
        </w:r>
        <w:r w:rsidR="00817571">
          <w:rPr>
            <w:noProof/>
            <w:webHidden/>
          </w:rPr>
          <w:fldChar w:fldCharType="begin"/>
        </w:r>
        <w:r w:rsidR="00817571">
          <w:rPr>
            <w:noProof/>
            <w:webHidden/>
          </w:rPr>
          <w:instrText xml:space="preserve"> PAGEREF _Toc183440917 \h </w:instrText>
        </w:r>
        <w:r w:rsidR="00817571">
          <w:rPr>
            <w:noProof/>
            <w:webHidden/>
          </w:rPr>
        </w:r>
        <w:r w:rsidR="00817571">
          <w:rPr>
            <w:noProof/>
            <w:webHidden/>
          </w:rPr>
          <w:fldChar w:fldCharType="separate"/>
        </w:r>
        <w:r w:rsidR="00817571">
          <w:rPr>
            <w:noProof/>
            <w:webHidden/>
          </w:rPr>
          <w:t>61</w:t>
        </w:r>
        <w:r w:rsidR="00817571">
          <w:rPr>
            <w:noProof/>
            <w:webHidden/>
          </w:rPr>
          <w:fldChar w:fldCharType="end"/>
        </w:r>
      </w:hyperlink>
    </w:p>
    <w:p w:rsidR="003F1496" w:rsidRPr="00E13676" w:rsidRDefault="003F1496" w:rsidP="007C388C">
      <w:pPr>
        <w:suppressAutoHyphens/>
        <w:spacing w:before="120" w:after="120" w:line="360" w:lineRule="auto"/>
        <w:jc w:val="both"/>
        <w:rPr>
          <w:b/>
          <w:bCs/>
        </w:rPr>
      </w:pPr>
      <w:r w:rsidRPr="00134E5D">
        <w:rPr>
          <w:b/>
          <w:bCs/>
          <w:sz w:val="22"/>
          <w:szCs w:val="22"/>
        </w:rPr>
        <w:fldChar w:fldCharType="end"/>
      </w:r>
    </w:p>
    <w:p w:rsidR="003F1496" w:rsidRPr="00E13676" w:rsidRDefault="003F1496" w:rsidP="007C388C">
      <w:pPr>
        <w:suppressAutoHyphens/>
        <w:spacing w:before="120" w:after="120" w:line="360" w:lineRule="auto"/>
        <w:jc w:val="both"/>
        <w:rPr>
          <w:rFonts w:eastAsia="MS Gothic"/>
          <w:b/>
          <w:bCs/>
          <w:color w:val="5B9BD5"/>
        </w:rPr>
      </w:pPr>
      <w:r w:rsidRPr="00E13676">
        <w:br w:type="page"/>
      </w:r>
    </w:p>
    <w:p w:rsidR="003F1496" w:rsidRPr="00E13676" w:rsidRDefault="003F1496" w:rsidP="007C388C">
      <w:pPr>
        <w:pStyle w:val="Heading2"/>
        <w:suppressAutoHyphens/>
        <w:spacing w:after="120" w:line="360" w:lineRule="auto"/>
        <w:rPr>
          <w:rFonts w:ascii="Times New Roman" w:hAnsi="Times New Roman"/>
          <w:sz w:val="24"/>
          <w:szCs w:val="24"/>
        </w:rPr>
      </w:pPr>
      <w:bookmarkStart w:id="0" w:name="_Toc106285917"/>
      <w:bookmarkStart w:id="1" w:name="_Toc183440884"/>
      <w:r w:rsidRPr="00E13676">
        <w:rPr>
          <w:rFonts w:ascii="Times New Roman" w:hAnsi="Times New Roman"/>
          <w:sz w:val="24"/>
          <w:szCs w:val="24"/>
        </w:rPr>
        <w:lastRenderedPageBreak/>
        <w:t>1. Компонент от Националния план за възстановяване и устойчивост:</w:t>
      </w:r>
      <w:bookmarkEnd w:id="0"/>
      <w:bookmarkEnd w:id="1"/>
    </w:p>
    <w:p w:rsidR="003F1496" w:rsidRDefault="003F1496" w:rsidP="007C388C">
      <w:pPr>
        <w:suppressAutoHyphens/>
        <w:spacing w:before="120" w:after="120" w:line="360" w:lineRule="auto"/>
        <w:jc w:val="both"/>
      </w:pPr>
      <w:r w:rsidRPr="00E13676">
        <w:t xml:space="preserve">Компонент </w:t>
      </w:r>
      <w:r w:rsidR="00CB3C48" w:rsidRPr="00CB3C48">
        <w:t>7: Цифрова свързаност</w:t>
      </w:r>
      <w:r w:rsidRPr="00E13676">
        <w:t xml:space="preserve"> </w:t>
      </w:r>
      <w:r w:rsidR="006C19E1" w:rsidRPr="00E13676">
        <w:t>от Националния план за възстановяване и устойчивост (НПВУ)</w:t>
      </w:r>
      <w:r w:rsidR="005D13D3" w:rsidRPr="00E13676">
        <w:t>.</w:t>
      </w:r>
    </w:p>
    <w:p w:rsidR="007C388C" w:rsidRPr="00E13676" w:rsidRDefault="007C388C" w:rsidP="007C388C">
      <w:pPr>
        <w:suppressAutoHyphens/>
        <w:spacing w:before="120" w:after="120" w:line="360" w:lineRule="auto"/>
        <w:jc w:val="both"/>
      </w:pPr>
    </w:p>
    <w:p w:rsidR="003F1496" w:rsidRPr="00E13676" w:rsidRDefault="003F1496" w:rsidP="007C388C">
      <w:pPr>
        <w:pStyle w:val="Heading2"/>
        <w:suppressAutoHyphens/>
        <w:spacing w:after="120" w:line="360" w:lineRule="auto"/>
        <w:rPr>
          <w:rFonts w:ascii="Times New Roman" w:hAnsi="Times New Roman"/>
          <w:sz w:val="24"/>
          <w:szCs w:val="24"/>
        </w:rPr>
      </w:pPr>
      <w:bookmarkStart w:id="2" w:name="_Toc106285918"/>
      <w:bookmarkStart w:id="3" w:name="_Toc183440885"/>
      <w:r w:rsidRPr="00E13676">
        <w:rPr>
          <w:rFonts w:ascii="Times New Roman" w:hAnsi="Times New Roman"/>
          <w:sz w:val="24"/>
          <w:szCs w:val="24"/>
        </w:rPr>
        <w:t>2. Наименование на инвестицията:</w:t>
      </w:r>
      <w:bookmarkEnd w:id="2"/>
      <w:bookmarkEnd w:id="3"/>
    </w:p>
    <w:p w:rsidR="00BF109B" w:rsidRPr="00E13676" w:rsidRDefault="003F1496" w:rsidP="007C388C">
      <w:pPr>
        <w:suppressAutoHyphens/>
        <w:spacing w:before="120" w:after="120" w:line="360" w:lineRule="auto"/>
        <w:jc w:val="both"/>
      </w:pPr>
      <w:r w:rsidRPr="00E13676">
        <w:t xml:space="preserve">Настоящата процедура </w:t>
      </w:r>
      <w:bookmarkStart w:id="4" w:name="_Hlk141096937"/>
      <w:r w:rsidRPr="00E13676">
        <w:t xml:space="preserve">за подбор на предложения е </w:t>
      </w:r>
      <w:bookmarkEnd w:id="4"/>
      <w:r w:rsidRPr="00E13676">
        <w:t xml:space="preserve">за изпълнение на </w:t>
      </w:r>
      <w:bookmarkStart w:id="5" w:name="_Hlk165457542"/>
      <w:r w:rsidRPr="00E13676">
        <w:t>Инвестиция</w:t>
      </w:r>
      <w:r w:rsidR="00B47893" w:rsidRPr="00E13676">
        <w:t> </w:t>
      </w:r>
      <w:r w:rsidR="00841FB2" w:rsidRPr="00841FB2">
        <w:t>„Широкомащабно разгръщане на цифрова инфраструктура</w:t>
      </w:r>
      <w:r w:rsidR="000517B6">
        <w:t xml:space="preserve"> на територията на България</w:t>
      </w:r>
      <w:r w:rsidR="00841FB2">
        <w:t>“</w:t>
      </w:r>
      <w:r w:rsidRPr="00E13676">
        <w:t xml:space="preserve"> (</w:t>
      </w:r>
      <w:r w:rsidR="000517B6">
        <w:t>К</w:t>
      </w:r>
      <w:r w:rsidR="00841FB2" w:rsidRPr="00841FB2">
        <w:t>7.</w:t>
      </w:r>
      <w:r w:rsidR="000517B6">
        <w:t>И</w:t>
      </w:r>
      <w:r w:rsidR="00841FB2" w:rsidRPr="00841FB2">
        <w:t>1</w:t>
      </w:r>
      <w:r w:rsidRPr="00E13676">
        <w:t>) от НПВУ</w:t>
      </w:r>
      <w:bookmarkEnd w:id="5"/>
      <w:r w:rsidRPr="00E13676">
        <w:t>.</w:t>
      </w:r>
    </w:p>
    <w:p w:rsidR="003F1496" w:rsidRDefault="00D0718A" w:rsidP="007C388C">
      <w:pPr>
        <w:suppressAutoHyphens/>
        <w:spacing w:before="120" w:after="120" w:line="360" w:lineRule="auto"/>
        <w:jc w:val="both"/>
      </w:pPr>
      <w:r w:rsidRPr="00D0718A">
        <w:t>Министерството на транспорта и съобщенията (МТ</w:t>
      </w:r>
      <w:r w:rsidR="000C64AD">
        <w:t>С</w:t>
      </w:r>
      <w:r w:rsidRPr="00D0718A">
        <w:t xml:space="preserve">) </w:t>
      </w:r>
      <w:r w:rsidR="00AE0392">
        <w:t>и</w:t>
      </w:r>
      <w:r w:rsidRPr="00D0718A">
        <w:t xml:space="preserve"> Изпълнителна агенция „Инфраструктура </w:t>
      </w:r>
      <w:r w:rsidR="000517B6">
        <w:t>на</w:t>
      </w:r>
      <w:r w:rsidRPr="00D0718A">
        <w:t xml:space="preserve"> електронно</w:t>
      </w:r>
      <w:r w:rsidR="000517B6">
        <w:t>то</w:t>
      </w:r>
      <w:r w:rsidRPr="00D0718A">
        <w:t xml:space="preserve"> управление</w:t>
      </w:r>
      <w:r>
        <w:t xml:space="preserve">“ </w:t>
      </w:r>
      <w:r w:rsidRPr="00D0718A">
        <w:t>(ИА</w:t>
      </w:r>
      <w:r w:rsidR="000517B6">
        <w:t>И</w:t>
      </w:r>
      <w:r>
        <w:t>ЕУ</w:t>
      </w:r>
      <w:r w:rsidRPr="00D0718A">
        <w:t xml:space="preserve">) отговарят за изпълнението на инвестицията. </w:t>
      </w:r>
      <w:r w:rsidR="00841FB2" w:rsidRPr="00841FB2">
        <w:t xml:space="preserve">МТС е определено </w:t>
      </w:r>
      <w:r w:rsidR="00841FB2">
        <w:t>с</w:t>
      </w:r>
      <w:r w:rsidR="00841FB2" w:rsidRPr="00841FB2">
        <w:t xml:space="preserve"> Постановление № 157 от 7 юли 2022 г.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 обн. ДВ. бр.54 от 12.07.2022 г. (ПМС № 157/2022), изм. </w:t>
      </w:r>
      <w:r w:rsidR="000C64AD">
        <w:t xml:space="preserve">и доп. с Постановление № 333 </w:t>
      </w:r>
      <w:r w:rsidR="00841FB2" w:rsidRPr="00841FB2">
        <w:t xml:space="preserve">от 20 октомври 2022 г., за Структура за наблюдение и докладване (СНД) по Инвестиция 1 „Широкомащабно разгръщане на цифрова инфраструктура на територията на България“ от Компонент 7 „Цифрова свързаност“ на </w:t>
      </w:r>
      <w:r w:rsidR="000C64AD">
        <w:t>Н</w:t>
      </w:r>
      <w:r w:rsidR="00841FB2" w:rsidRPr="00841FB2">
        <w:t>ПВУ. Съгласно Постановление № 114 от 8 юни 2022 г. за определяне на детайлни правила за предоставяне на средства на крайни получатели от Механизма за възстановяване и устойчивост, обн. ДВ. бр.</w:t>
      </w:r>
      <w:r w:rsidR="00886DE9">
        <w:rPr>
          <w:lang w:val="en-US"/>
        </w:rPr>
        <w:t xml:space="preserve"> </w:t>
      </w:r>
      <w:r w:rsidR="00841FB2" w:rsidRPr="00841FB2">
        <w:t>43 от 10.06.2022 г. (ПМС № 114/2022) СНД отговаря за подбора, в случаите, в които е предвиден такъв, за договарянето на финансиране с крайни получатели, за обобщаването на финансовата и техническа информация, и за осъществяването на контрол върху финансовото и техническо изпълнение на инвестицията.</w:t>
      </w:r>
      <w:r w:rsidR="003F1496" w:rsidRPr="00E13676">
        <w:t xml:space="preserve"> </w:t>
      </w:r>
    </w:p>
    <w:p w:rsidR="007C388C" w:rsidRPr="00E13676" w:rsidRDefault="007C388C" w:rsidP="007C388C">
      <w:pPr>
        <w:suppressAutoHyphens/>
        <w:spacing w:before="120" w:after="120" w:line="360" w:lineRule="auto"/>
        <w:jc w:val="both"/>
      </w:pPr>
    </w:p>
    <w:p w:rsidR="003F1496" w:rsidRPr="00E13676" w:rsidRDefault="003F1496" w:rsidP="007C388C">
      <w:pPr>
        <w:pStyle w:val="Heading2"/>
        <w:suppressAutoHyphens/>
        <w:spacing w:after="120" w:line="360" w:lineRule="auto"/>
        <w:rPr>
          <w:rFonts w:ascii="Times New Roman" w:hAnsi="Times New Roman"/>
          <w:sz w:val="24"/>
          <w:szCs w:val="24"/>
        </w:rPr>
      </w:pPr>
      <w:bookmarkStart w:id="6" w:name="_Toc106285919"/>
      <w:bookmarkStart w:id="7" w:name="_Toc183440886"/>
      <w:r w:rsidRPr="00E13676">
        <w:rPr>
          <w:rFonts w:ascii="Times New Roman" w:hAnsi="Times New Roman"/>
          <w:sz w:val="24"/>
          <w:szCs w:val="24"/>
        </w:rPr>
        <w:t>3. Наименование на процедурата:</w:t>
      </w:r>
      <w:bookmarkEnd w:id="6"/>
      <w:bookmarkEnd w:id="7"/>
    </w:p>
    <w:p w:rsidR="003F1496" w:rsidRDefault="006C19E1" w:rsidP="007C388C">
      <w:pPr>
        <w:suppressAutoHyphens/>
        <w:spacing w:before="120" w:after="120" w:line="360" w:lineRule="auto"/>
        <w:jc w:val="both"/>
      </w:pPr>
      <w:r w:rsidRPr="000C64AD">
        <w:lastRenderedPageBreak/>
        <w:t>Процедура</w:t>
      </w:r>
      <w:r w:rsidR="000C64AD" w:rsidRPr="000C64AD">
        <w:t xml:space="preserve"> </w:t>
      </w:r>
      <w:r w:rsidR="00DC7ECE" w:rsidRPr="000C64AD">
        <w:t>„Широкомащабно разгръщане на цифрова инфраструктура на територията на България“.</w:t>
      </w:r>
    </w:p>
    <w:p w:rsidR="007C388C" w:rsidRPr="00E13676" w:rsidRDefault="007C388C"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color w:val="000000" w:themeColor="text1"/>
        </w:rPr>
      </w:pPr>
      <w:r w:rsidRPr="007C388C">
        <w:rPr>
          <w:b/>
          <w:color w:val="000000" w:themeColor="text1"/>
        </w:rPr>
        <w:t>ВАЖНО:</w:t>
      </w:r>
      <w:r w:rsidRPr="007C388C">
        <w:rPr>
          <w:color w:val="000000" w:themeColor="text1"/>
        </w:rPr>
        <w:t xml:space="preserve"> При кандидатстване и изпълнение на инвестицията следва да се спазват изискванията и условията за съответствие на 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правилата -  Общ регламент за групово освобождаване (ОРГО), подробно описани в </w:t>
      </w:r>
      <w:r w:rsidRPr="00AE0392">
        <w:rPr>
          <w:b/>
          <w:color w:val="000000" w:themeColor="text1"/>
        </w:rPr>
        <w:t>Приложение 14</w:t>
      </w:r>
      <w:r w:rsidRPr="007C388C">
        <w:rPr>
          <w:color w:val="000000" w:themeColor="text1"/>
        </w:rPr>
        <w:t xml:space="preserve"> към настоящите Условия за кандидатстване. </w:t>
      </w:r>
    </w:p>
    <w:p w:rsidR="007C388C" w:rsidRPr="000C64AD" w:rsidRDefault="007C388C" w:rsidP="007C388C">
      <w:pPr>
        <w:suppressAutoHyphens/>
        <w:spacing w:before="120" w:after="120" w:line="360" w:lineRule="auto"/>
        <w:jc w:val="both"/>
      </w:pPr>
    </w:p>
    <w:p w:rsidR="003F1496" w:rsidRPr="00E13676" w:rsidRDefault="003F1496" w:rsidP="007C388C">
      <w:pPr>
        <w:pStyle w:val="Heading2"/>
        <w:suppressAutoHyphens/>
        <w:spacing w:after="120" w:line="360" w:lineRule="auto"/>
        <w:rPr>
          <w:rFonts w:ascii="Times New Roman" w:hAnsi="Times New Roman"/>
          <w:sz w:val="24"/>
          <w:szCs w:val="24"/>
        </w:rPr>
      </w:pPr>
      <w:bookmarkStart w:id="8" w:name="_Toc106285920"/>
      <w:bookmarkStart w:id="9" w:name="_Toc183440887"/>
      <w:r w:rsidRPr="00E13676">
        <w:rPr>
          <w:rFonts w:ascii="Times New Roman" w:hAnsi="Times New Roman"/>
          <w:sz w:val="24"/>
          <w:szCs w:val="24"/>
        </w:rPr>
        <w:t>4. Териториален обхват:</w:t>
      </w:r>
      <w:bookmarkEnd w:id="8"/>
      <w:bookmarkEnd w:id="9"/>
    </w:p>
    <w:p w:rsidR="002B4D1A" w:rsidRDefault="003F1496" w:rsidP="007C388C">
      <w:pPr>
        <w:suppressAutoHyphens/>
        <w:spacing w:before="120" w:after="120" w:line="360" w:lineRule="auto"/>
        <w:jc w:val="both"/>
      </w:pPr>
      <w:r w:rsidRPr="00E13676">
        <w:t xml:space="preserve">Предложенията за </w:t>
      </w:r>
      <w:r w:rsidR="00ED0937">
        <w:t xml:space="preserve">отделните конкурентни процедури за </w:t>
      </w:r>
      <w:r w:rsidRPr="00E13676">
        <w:t>инвестиция</w:t>
      </w:r>
      <w:r w:rsidR="006C19E1" w:rsidRPr="00E13676">
        <w:t>та</w:t>
      </w:r>
      <w:r w:rsidRPr="00E13676">
        <w:t xml:space="preserve"> следва да бъдат изпълнени на територията на Република България</w:t>
      </w:r>
      <w:r w:rsidR="000C7338">
        <w:t>. Всяко предложение следва да обхваща един от 6-</w:t>
      </w:r>
      <w:r w:rsidR="002B4D1A">
        <w:t>те района за планиране съгласно Постановление на Министерския съвет № 145 от 27 май 2000 г., съгласно което се регламентират шест района за планиране, в съответствие с класификацията на ниво NUTS 2, както следва:</w:t>
      </w:r>
    </w:p>
    <w:p w:rsidR="002B4D1A" w:rsidRDefault="002B4D1A" w:rsidP="007C388C">
      <w:pPr>
        <w:suppressAutoHyphens/>
        <w:spacing w:before="120" w:after="120" w:line="360" w:lineRule="auto"/>
        <w:ind w:firstLine="567"/>
        <w:jc w:val="both"/>
      </w:pPr>
      <w:r>
        <w:t xml:space="preserve">− Северозападен </w:t>
      </w:r>
      <w:r w:rsidRPr="00846C1A">
        <w:t>район за планиране</w:t>
      </w:r>
      <w:r>
        <w:t>;</w:t>
      </w:r>
    </w:p>
    <w:p w:rsidR="002B4D1A" w:rsidRDefault="002B4D1A" w:rsidP="007C388C">
      <w:pPr>
        <w:suppressAutoHyphens/>
        <w:spacing w:before="120" w:after="120" w:line="360" w:lineRule="auto"/>
        <w:ind w:firstLine="567"/>
        <w:jc w:val="both"/>
      </w:pPr>
      <w:r>
        <w:t xml:space="preserve">− </w:t>
      </w:r>
      <w:r w:rsidRPr="00846C1A">
        <w:t>Северен централен район за планиране</w:t>
      </w:r>
      <w:r>
        <w:t>;</w:t>
      </w:r>
    </w:p>
    <w:p w:rsidR="002B4D1A" w:rsidRDefault="002B4D1A" w:rsidP="007C388C">
      <w:pPr>
        <w:suppressAutoHyphens/>
        <w:spacing w:before="120" w:after="120" w:line="360" w:lineRule="auto"/>
        <w:ind w:firstLine="567"/>
        <w:jc w:val="both"/>
      </w:pPr>
      <w:r>
        <w:t xml:space="preserve">− Североизточен </w:t>
      </w:r>
      <w:r w:rsidRPr="00846C1A">
        <w:t>район за планиране</w:t>
      </w:r>
      <w:r>
        <w:t>;</w:t>
      </w:r>
    </w:p>
    <w:p w:rsidR="002B4D1A" w:rsidRDefault="002B4D1A" w:rsidP="007C388C">
      <w:pPr>
        <w:suppressAutoHyphens/>
        <w:spacing w:before="120" w:after="120" w:line="360" w:lineRule="auto"/>
        <w:ind w:firstLine="567"/>
        <w:jc w:val="both"/>
      </w:pPr>
      <w:r>
        <w:t>− Югоизточен район за планиране;</w:t>
      </w:r>
    </w:p>
    <w:p w:rsidR="002B4D1A" w:rsidRDefault="002B4D1A" w:rsidP="007C388C">
      <w:pPr>
        <w:suppressAutoHyphens/>
        <w:spacing w:before="120" w:after="120" w:line="360" w:lineRule="auto"/>
        <w:ind w:firstLine="567"/>
        <w:jc w:val="both"/>
      </w:pPr>
      <w:r>
        <w:t>− Южен централен район за планиране;</w:t>
      </w:r>
    </w:p>
    <w:p w:rsidR="002B4D1A" w:rsidRDefault="002B4D1A" w:rsidP="007C388C">
      <w:pPr>
        <w:suppressAutoHyphens/>
        <w:spacing w:before="120" w:after="120" w:line="360" w:lineRule="auto"/>
        <w:ind w:firstLine="567"/>
        <w:jc w:val="both"/>
      </w:pPr>
      <w:r>
        <w:t>− Югозападен район за планиране.</w:t>
      </w:r>
    </w:p>
    <w:p w:rsidR="002B4D1A" w:rsidRDefault="002B4D1A" w:rsidP="007C388C">
      <w:pPr>
        <w:suppressAutoHyphens/>
        <w:spacing w:before="120" w:after="120" w:line="360" w:lineRule="auto"/>
        <w:jc w:val="both"/>
      </w:pPr>
      <w:r>
        <w:t>Горепосочените райони за планиране са потвърдени и отново регламентирани в Закона за регионално развитие, обнародван в Държавен вестник № 14/20.02.2004 г.</w:t>
      </w:r>
    </w:p>
    <w:p w:rsidR="003F1496" w:rsidRPr="00B34F82" w:rsidRDefault="000C7338" w:rsidP="007C388C">
      <w:pPr>
        <w:suppressAutoHyphens/>
        <w:spacing w:before="120" w:after="120" w:line="360" w:lineRule="auto"/>
        <w:jc w:val="both"/>
      </w:pPr>
      <w:r w:rsidRPr="000C7338">
        <w:t xml:space="preserve">Всеки потенциален бенефициер може </w:t>
      </w:r>
      <w:r w:rsidR="00A72F39">
        <w:t>да бъде определен за краен получател на</w:t>
      </w:r>
      <w:r>
        <w:t xml:space="preserve"> максимум два от районите за планиране.</w:t>
      </w:r>
      <w:r w:rsidR="00B34F82">
        <w:rPr>
          <w:lang w:val="en-US"/>
        </w:rPr>
        <w:t xml:space="preserve"> </w:t>
      </w:r>
      <w:r w:rsidR="00B34F82">
        <w:t xml:space="preserve">В случай че за даден район има повече от едно </w:t>
      </w:r>
      <w:r w:rsidR="00B34F82">
        <w:lastRenderedPageBreak/>
        <w:t xml:space="preserve">предложения, договор ще бъде </w:t>
      </w:r>
      <w:r w:rsidR="000965E2">
        <w:t>сключен</w:t>
      </w:r>
      <w:r w:rsidR="00B34F82">
        <w:t xml:space="preserve"> с кандидата получил по-висока оценка съгласно П</w:t>
      </w:r>
      <w:r w:rsidR="001E791C">
        <w:t>риложение</w:t>
      </w:r>
      <w:r w:rsidR="000E75D8">
        <w:t xml:space="preserve"> 9.</w:t>
      </w:r>
      <w:r w:rsidR="00B34F82">
        <w:t xml:space="preserve"> </w:t>
      </w:r>
    </w:p>
    <w:p w:rsidR="00B34F82" w:rsidRDefault="00E869B9" w:rsidP="007C388C">
      <w:pPr>
        <w:suppressAutoHyphens/>
        <w:spacing w:before="120" w:after="120" w:line="360" w:lineRule="auto"/>
        <w:jc w:val="both"/>
      </w:pPr>
      <w:r>
        <w:t>Целевите райони за интервенция, в т.ч. населените места</w:t>
      </w:r>
      <w:r w:rsidR="00870A99">
        <w:t>,</w:t>
      </w:r>
      <w:r>
        <w:t xml:space="preserve"> в които следва да се осигури свързаност</w:t>
      </w:r>
      <w:r w:rsidR="00870A99">
        <w:t>,</w:t>
      </w:r>
      <w:r>
        <w:t xml:space="preserve"> са подробно описани в </w:t>
      </w:r>
      <w:r w:rsidRPr="002109FB">
        <w:t xml:space="preserve">Приложение </w:t>
      </w:r>
      <w:r w:rsidR="002109FB" w:rsidRPr="002109FB">
        <w:t>12</w:t>
      </w:r>
      <w:r w:rsidR="00870A99" w:rsidRPr="002109FB">
        <w:t>.</w:t>
      </w:r>
      <w:r w:rsidR="00AE0392" w:rsidRPr="00AE0392">
        <w:t xml:space="preserve"> </w:t>
      </w:r>
      <w:r w:rsidR="00AE0392">
        <w:t xml:space="preserve">Списъкът с Приложение 12 е </w:t>
      </w:r>
      <w:r w:rsidR="00FD6BAA">
        <w:t>приоритетен</w:t>
      </w:r>
      <w:r w:rsidR="00AE0392">
        <w:t>, но не е изчерпателен и бенефициерът може да включи и допълнителни населени места, които да гарантират</w:t>
      </w:r>
      <w:r w:rsidR="00AE0392" w:rsidRPr="00AE0392">
        <w:t xml:space="preserve"> по-голямо пок</w:t>
      </w:r>
      <w:r w:rsidR="00AE0392">
        <w:t>ритие на населението (като абсо</w:t>
      </w:r>
      <w:r w:rsidR="00AE0392" w:rsidRPr="00AE0392">
        <w:t>лютен брой жители).</w:t>
      </w:r>
      <w:r w:rsidR="00C525F7">
        <w:t xml:space="preserve"> В Приложение 12</w:t>
      </w:r>
      <w:r w:rsidR="00071867">
        <w:t xml:space="preserve"> е включен и списък с </w:t>
      </w:r>
      <w:r w:rsidR="00071867" w:rsidRPr="00071867">
        <w:t xml:space="preserve">Граничните контролно-пропускателни пунктове на </w:t>
      </w:r>
      <w:r w:rsidR="0095342D">
        <w:t xml:space="preserve">Република България </w:t>
      </w:r>
      <w:r w:rsidR="00071867">
        <w:t>(ГКПП)</w:t>
      </w:r>
      <w:r w:rsidR="00E51247" w:rsidRPr="00E51247">
        <w:t xml:space="preserve"> </w:t>
      </w:r>
      <w:r w:rsidR="0095342D">
        <w:t>към които следва да бъде</w:t>
      </w:r>
      <w:r w:rsidR="00E51247" w:rsidRPr="00E51247">
        <w:t xml:space="preserve"> осигур</w:t>
      </w:r>
      <w:r w:rsidR="0095342D">
        <w:t>ена</w:t>
      </w:r>
      <w:r w:rsidR="00E51247" w:rsidRPr="00E51247">
        <w:t xml:space="preserve"> свързаност към ЕЕСМ, във връзка с приемането </w:t>
      </w:r>
      <w:r w:rsidR="0095342D">
        <w:t>на страната в Шенгенското пространство</w:t>
      </w:r>
      <w:r w:rsidR="00E51247" w:rsidRPr="00E51247">
        <w:t>.</w:t>
      </w:r>
    </w:p>
    <w:p w:rsidR="007C388C" w:rsidRDefault="00C223AB" w:rsidP="007C388C">
      <w:pPr>
        <w:suppressAutoHyphens/>
        <w:spacing w:before="120" w:after="120" w:line="360" w:lineRule="auto"/>
        <w:jc w:val="both"/>
      </w:pPr>
      <w:r>
        <w:t xml:space="preserve">В случай на фактическа невъзможност да бъде покрито дадено населено място от Приложение 12, бенефициерът е длъжен </w:t>
      </w:r>
      <w:r w:rsidR="00C66908">
        <w:t>своевременно</w:t>
      </w:r>
      <w:r>
        <w:t xml:space="preserve"> да уведоми СНД като предложи алтернативно населено място със съпоставим брой жители. </w:t>
      </w:r>
      <w:r w:rsidR="00C66908">
        <w:t>Искането за промяна следва да бъде обосновано, да не се отразява съществено върху общите цели на проекта и следва да бъде предварително одобрено</w:t>
      </w:r>
      <w:r>
        <w:t xml:space="preserve"> от СНД.</w:t>
      </w:r>
    </w:p>
    <w:p w:rsidR="00C525F7" w:rsidRDefault="00C525F7" w:rsidP="007C388C">
      <w:pPr>
        <w:suppressAutoHyphens/>
        <w:spacing w:before="120" w:after="120" w:line="360" w:lineRule="auto"/>
        <w:jc w:val="both"/>
      </w:pPr>
      <w:r>
        <w:t>В Приложение 12 са описани оптималните трасета за нуждите на държавната мрежа към които бенефициерът следва да се придържа. П</w:t>
      </w:r>
      <w:r w:rsidRPr="00C525F7">
        <w:t xml:space="preserve">ри невъзможност за предоставянето </w:t>
      </w:r>
      <w:r>
        <w:t>на свързаност</w:t>
      </w:r>
      <w:r w:rsidRPr="00C525F7">
        <w:t xml:space="preserve"> съгласно заложените по проекта финансови параметри, </w:t>
      </w:r>
      <w:r>
        <w:t>бенефициерите</w:t>
      </w:r>
      <w:r w:rsidRPr="00C525F7">
        <w:t xml:space="preserve"> </w:t>
      </w:r>
      <w:r>
        <w:t>имат</w:t>
      </w:r>
      <w:r w:rsidRPr="00C525F7">
        <w:t xml:space="preserve"> право да предложат промяна на съответното трасе с оглед изразходване на по-малък финансов ресурс</w:t>
      </w:r>
      <w:r>
        <w:t>, но всяка промяна следва да бъде предварително одобрена от СНД</w:t>
      </w:r>
      <w:r w:rsidRPr="00C525F7">
        <w:t>.</w:t>
      </w:r>
    </w:p>
    <w:p w:rsidR="003F1496" w:rsidRPr="00E13676" w:rsidRDefault="003F1496" w:rsidP="007C388C">
      <w:pPr>
        <w:pStyle w:val="Heading2"/>
        <w:suppressAutoHyphens/>
        <w:spacing w:after="120" w:line="360" w:lineRule="auto"/>
        <w:rPr>
          <w:rFonts w:ascii="Times New Roman" w:hAnsi="Times New Roman"/>
          <w:sz w:val="24"/>
          <w:szCs w:val="24"/>
        </w:rPr>
      </w:pPr>
      <w:bookmarkStart w:id="10" w:name="_Toc106285921"/>
      <w:bookmarkStart w:id="11" w:name="_Toc183440888"/>
      <w:r w:rsidRPr="00E13676">
        <w:rPr>
          <w:rFonts w:ascii="Times New Roman" w:hAnsi="Times New Roman"/>
          <w:sz w:val="24"/>
          <w:szCs w:val="24"/>
        </w:rPr>
        <w:t>5. Цели на получаваните безвъзмездни средства по процедурата и очаквани резултати:</w:t>
      </w:r>
      <w:bookmarkEnd w:id="10"/>
      <w:bookmarkEnd w:id="11"/>
    </w:p>
    <w:p w:rsidR="003F1496" w:rsidRPr="00E13676" w:rsidRDefault="003F1496" w:rsidP="007C388C">
      <w:pPr>
        <w:suppressAutoHyphens/>
        <w:spacing w:before="120" w:after="120" w:line="360" w:lineRule="auto"/>
        <w:jc w:val="both"/>
      </w:pPr>
      <w:r w:rsidRPr="00E13676">
        <w:t>Настоящата процедура</w:t>
      </w:r>
      <w:r w:rsidR="006C19E1" w:rsidRPr="00E13676">
        <w:t xml:space="preserve"> </w:t>
      </w:r>
      <w:r w:rsidRPr="00E13676">
        <w:t xml:space="preserve">е в изпълнение на </w:t>
      </w:r>
      <w:r w:rsidR="0063605B">
        <w:t>и</w:t>
      </w:r>
      <w:r w:rsidR="00B47893" w:rsidRPr="00E13676">
        <w:t>нвестиция </w:t>
      </w:r>
      <w:r w:rsidR="000C64AD">
        <w:t>К7.И</w:t>
      </w:r>
      <w:r w:rsidR="0063605B" w:rsidRPr="0063605B">
        <w:t>1 „Широкомащабно разгръщане на цифрова инфраструктура</w:t>
      </w:r>
      <w:r w:rsidR="000C64AD">
        <w:t xml:space="preserve"> на територията на България“</w:t>
      </w:r>
      <w:r w:rsidR="0063605B" w:rsidRPr="0063605B">
        <w:t xml:space="preserve"> </w:t>
      </w:r>
      <w:r w:rsidR="00B47893" w:rsidRPr="00E13676">
        <w:t>от НПВУ</w:t>
      </w:r>
      <w:r w:rsidRPr="00E13676">
        <w:t xml:space="preserve">. </w:t>
      </w:r>
    </w:p>
    <w:p w:rsidR="003F1496" w:rsidRDefault="0063605B" w:rsidP="007C388C">
      <w:pPr>
        <w:suppressAutoHyphens/>
        <w:spacing w:before="120" w:after="120" w:line="360" w:lineRule="auto"/>
        <w:jc w:val="both"/>
      </w:pPr>
      <w:r w:rsidRPr="0063605B">
        <w:rPr>
          <w:bCs/>
        </w:rPr>
        <w:t xml:space="preserve">Компонентът за цифрова свързаност на Националния план за възстановяване и устойчивост (НПВУ) на Република България има за цел изграждането на модерна и сигурна цифрова инфраструктура и преодоляването на териториалните дисбаланси, </w:t>
      </w:r>
      <w:r w:rsidRPr="0063605B">
        <w:rPr>
          <w:bCs/>
        </w:rPr>
        <w:lastRenderedPageBreak/>
        <w:t>свързани с навлизането на широколентовия достъп. Цифровата инфраструктура е от стратегическо значение за социалното и териториалното сближаване и като цяло за конкурентоспособността, устойчивостта и ускорените цифрови резултати. Цифровизацията оказва дълбоко въздействие върху ежедневния социален, икономически, политически и културен живот на обществото. В това отношение ограниченият достъп и недостатъчното разширяване на мрежата могат да изострят социалните неравенства и по този начин да създадат ново цифрово разделение между хората. Развитието на мрежи с много голям капацитет в отда</w:t>
      </w:r>
      <w:r w:rsidR="00ED0937">
        <w:rPr>
          <w:bCs/>
        </w:rPr>
        <w:t xml:space="preserve">лечени, селски и </w:t>
      </w:r>
      <w:r w:rsidRPr="0063605B">
        <w:rPr>
          <w:bCs/>
        </w:rPr>
        <w:t>слабо населените райони е приоритет и ключов елемент на социалното приобщаване.</w:t>
      </w:r>
      <w:r w:rsidR="00A67A72" w:rsidRPr="0063605B">
        <w:t xml:space="preserve"> </w:t>
      </w:r>
    </w:p>
    <w:p w:rsidR="00E5274F" w:rsidRDefault="00E5274F" w:rsidP="007C388C">
      <w:pPr>
        <w:suppressAutoHyphens/>
        <w:spacing w:before="120" w:after="120" w:line="360" w:lineRule="auto"/>
        <w:jc w:val="both"/>
      </w:pPr>
      <w:r>
        <w:t xml:space="preserve">До 2030 г. България трябва да бъде снабдена със симетрични гигабитови мрежи за достъп в цялата страна. Устойчивата оптична мрежа, комбинирана с универсално достъпна мобилна мрежа, ще позволи на всеки гражданин, всеки бизнес и всяка публична институция да използва възможностите за цифровизация при равни условия в цялата страна. </w:t>
      </w:r>
    </w:p>
    <w:p w:rsidR="00E5274F" w:rsidRDefault="00E5274F" w:rsidP="007C388C">
      <w:pPr>
        <w:suppressAutoHyphens/>
        <w:spacing w:before="120" w:after="120" w:line="360" w:lineRule="auto"/>
        <w:jc w:val="both"/>
      </w:pPr>
      <w:r>
        <w:t xml:space="preserve">Ще се преодолее в максимална степен цифровото разделение чрез разгръщане на цифрова свързаност в </w:t>
      </w:r>
      <w:r w:rsidR="00ED0937" w:rsidRPr="0063605B">
        <w:rPr>
          <w:bCs/>
        </w:rPr>
        <w:t>отда</w:t>
      </w:r>
      <w:r w:rsidR="00ED0937">
        <w:rPr>
          <w:bCs/>
        </w:rPr>
        <w:t xml:space="preserve">лечени, селски и </w:t>
      </w:r>
      <w:r w:rsidR="00ED0937" w:rsidRPr="0063605B">
        <w:rPr>
          <w:bCs/>
        </w:rPr>
        <w:t>слабо населените</w:t>
      </w:r>
      <w:r w:rsidR="00ED0937">
        <w:t xml:space="preserve"> </w:t>
      </w:r>
      <w:r>
        <w:t>райони и повишаване на цифровите компетентности на населението, постигайки целите на политическа програма „Цифрово десетилетие“ до 2030 г., а именно гигабитов интернет за всички европейски домакинства и 5G за всички населени места до 2030 г. В резултат на това България ще играе съществена роля в европейския цифров пазар и ще осигури и разшири позицията си на доверен партньор, утвърждаващ европейските ценности на Западните Балкани.</w:t>
      </w:r>
    </w:p>
    <w:p w:rsidR="00E5274F" w:rsidRDefault="00E5274F" w:rsidP="007C388C">
      <w:pPr>
        <w:suppressAutoHyphens/>
        <w:spacing w:before="120" w:after="120" w:line="360" w:lineRule="auto"/>
        <w:jc w:val="both"/>
      </w:pPr>
      <w:r>
        <w:t>Съгласно Доклада за цифровото десетилетие за 2024 г.</w:t>
      </w:r>
      <w:r>
        <w:rPr>
          <w:rStyle w:val="FootnoteReference"/>
        </w:rPr>
        <w:footnoteReference w:id="2"/>
      </w:r>
      <w:r>
        <w:t xml:space="preserve"> в областта на цифровата инфраструктура и свързаност България е един от лидерите в Европейския съюз (ЕС). Страната има сериозен принос за постигането на целта на ЕС за цифровото десетилетие по отношение на мрежите с много голям капацитет (ММГК). 88.6% от домакинствата в страната се обслужват от оптични линии до отделните жилища (FTTP) при средно за ЕС </w:t>
      </w:r>
      <w:r>
        <w:lastRenderedPageBreak/>
        <w:t xml:space="preserve">64% и увеличение с над 3 пункта в сравнение с 2023 г. 5G в честотната лента 3,4-3,8 GHz, която е от съществено значение за осигуряването на възможност за работа с модерни приложения, изискващи голяма честотна лента, обхваща 45.1% от българските домакинства през 2023 г., което е малко под средната стойност за ЕС (50.6%). </w:t>
      </w:r>
    </w:p>
    <w:p w:rsidR="00E5274F" w:rsidRDefault="00E5274F" w:rsidP="007C388C">
      <w:pPr>
        <w:suppressAutoHyphens/>
        <w:spacing w:before="120" w:after="120" w:line="360" w:lineRule="auto"/>
        <w:jc w:val="both"/>
      </w:pPr>
      <w:r>
        <w:t xml:space="preserve">Въпреки че България продължава да се представя добре по отношение на фиксираната гигабитова свързаност, нейното 5G покритие остава под средното за ЕС. Неравномерното разпределение на цифровата инфраструктура в </w:t>
      </w:r>
      <w:r w:rsidR="00ED0937" w:rsidRPr="0063605B">
        <w:rPr>
          <w:bCs/>
        </w:rPr>
        <w:t>отда</w:t>
      </w:r>
      <w:r w:rsidR="00ED0937">
        <w:rPr>
          <w:bCs/>
        </w:rPr>
        <w:t xml:space="preserve">лечени, селски и </w:t>
      </w:r>
      <w:r w:rsidR="00ED0937" w:rsidRPr="0063605B">
        <w:rPr>
          <w:bCs/>
        </w:rPr>
        <w:t>слабо населените</w:t>
      </w:r>
      <w:r w:rsidR="00ED0937">
        <w:t xml:space="preserve"> </w:t>
      </w:r>
      <w:r>
        <w:t>райони също изисква допълнително внимание.</w:t>
      </w:r>
    </w:p>
    <w:p w:rsidR="00E5274F" w:rsidRDefault="00E5274F" w:rsidP="007C388C">
      <w:pPr>
        <w:suppressAutoHyphens/>
        <w:spacing w:before="120" w:after="120" w:line="360" w:lineRule="auto"/>
        <w:jc w:val="both"/>
      </w:pPr>
      <w:r>
        <w:t xml:space="preserve">Прилагането на предложената мярка ще подобри качеството на живот и работната среда чрез създаване на условия за местно развитие. Цифровата инфраструктура е от стратегическо значение за социалното и териториалното сближаване и като цяло за конкурентоспособността, устойчивостта и ускорените цифрови резултати. В това отношение ограниченият достъп и недостатъчното разширяване на мрежата могат да изострят социалните неравенства и да създадат ново цифрово разделение между хората. Развитието на ММГК в </w:t>
      </w:r>
      <w:r w:rsidR="00A85BA2" w:rsidRPr="0063605B">
        <w:rPr>
          <w:bCs/>
        </w:rPr>
        <w:t>отда</w:t>
      </w:r>
      <w:r w:rsidR="00A85BA2">
        <w:rPr>
          <w:bCs/>
        </w:rPr>
        <w:t xml:space="preserve">лечени, селски и </w:t>
      </w:r>
      <w:r w:rsidR="00A85BA2" w:rsidRPr="0063605B">
        <w:rPr>
          <w:bCs/>
        </w:rPr>
        <w:t>слабо населените</w:t>
      </w:r>
      <w:r w:rsidR="00A85BA2">
        <w:t xml:space="preserve"> </w:t>
      </w:r>
      <w:r>
        <w:t xml:space="preserve">райони е приоритет и ключов елемент на социалното приобщаване. </w:t>
      </w:r>
    </w:p>
    <w:p w:rsidR="008C6293" w:rsidRDefault="00E5274F" w:rsidP="007C388C">
      <w:pPr>
        <w:suppressAutoHyphens/>
        <w:spacing w:before="120" w:after="120" w:line="360" w:lineRule="auto"/>
        <w:jc w:val="both"/>
      </w:pPr>
      <w:r>
        <w:t>За България е важно да обърне внимание на неадекватната цифрова инфраструктура в селските райони като постоянно предизвикателство за гигабитовата свързаност. Въпреки високите нива на навлизане на интернет, инвестициите в селските райони са ограничени, което води до силно цифрово разделение между селските и градските райони. Разпокъсаната инфраструктура сред малките оператори и регулаторните изисквания за разгръщането на инфраструктурата също са пречки. Административните забавяния в инвестиционния процес и недостатъчно уеднаквените административни изисквания за изграждане на високоскоростни мрежи допълнително допринасят за предизвикателството за разгръщане на цифровата инфраструктура в страната.</w:t>
      </w:r>
      <w:bookmarkStart w:id="12" w:name="_Toc106285922"/>
    </w:p>
    <w:p w:rsidR="002F7D7F" w:rsidRDefault="002F7D7F" w:rsidP="007C388C">
      <w:pPr>
        <w:suppressAutoHyphens/>
        <w:spacing w:before="120" w:after="120" w:line="360" w:lineRule="auto"/>
        <w:jc w:val="both"/>
      </w:pPr>
      <w:r w:rsidRPr="002F7D7F">
        <w:t xml:space="preserve">Обхватът на интервенцията ще бъде ограничен до предоставянето оптични мрежи за пренос, включително пасивната част и съответните активни елементи, до области, които </w:t>
      </w:r>
      <w:r w:rsidRPr="002F7D7F">
        <w:lastRenderedPageBreak/>
        <w:t xml:space="preserve">понастоящем нямат и няма да разполагат до 30 юни 2026 г. с оптичен пренос, който позволява да се гарантират услугите, основани на мрежи с много голям капацитет (ММГК), включително 5G. </w:t>
      </w:r>
    </w:p>
    <w:p w:rsidR="008C6293" w:rsidRDefault="008C6293" w:rsidP="007C388C">
      <w:pPr>
        <w:suppressAutoHyphens/>
        <w:spacing w:before="120" w:after="120" w:line="360" w:lineRule="auto"/>
        <w:jc w:val="both"/>
      </w:pPr>
      <w:r w:rsidRPr="008222AB">
        <w:t xml:space="preserve">Анализът подчертава спешната необходимост от </w:t>
      </w:r>
      <w:r w:rsidR="00B637C1" w:rsidRPr="008222AB">
        <w:t>разполагането на надеждни оптични мрежи за пренос на данни</w:t>
      </w:r>
      <w:r w:rsidR="00B637C1">
        <w:t xml:space="preserve">, които от своя страна да доведат до </w:t>
      </w:r>
      <w:r w:rsidR="00AE5A52">
        <w:t xml:space="preserve">ускоряванто </w:t>
      </w:r>
      <w:r w:rsidR="00B637C1">
        <w:t xml:space="preserve">на </w:t>
      </w:r>
      <w:r w:rsidR="00B637C1" w:rsidRPr="00B637C1">
        <w:t>изграждането на свързаност до крайните потребители чрез подходящи технологии за ММГК, в т.ч. оптика и 5G.</w:t>
      </w:r>
      <w:r w:rsidRPr="008222AB">
        <w:t>. Подобни подобрения се считат за изключително важни не само за повишаване на надеждността и скоростта на услугите, но и за подпомагане на икономическите дейности и основните услуги в регионите.</w:t>
      </w:r>
      <w:r w:rsidR="008222AB" w:rsidRPr="008222AB">
        <w:t xml:space="preserve"> </w:t>
      </w:r>
      <w:r w:rsidR="00182ADB">
        <w:t>Инструментът</w:t>
      </w:r>
      <w:r w:rsidR="008222AB" w:rsidRPr="008222AB">
        <w:t xml:space="preserve"> „Следващо поколение ЕС“ </w:t>
      </w:r>
      <w:r w:rsidR="008222AB">
        <w:t xml:space="preserve">идентифицира като </w:t>
      </w:r>
      <w:r w:rsidR="008222AB" w:rsidRPr="008222AB">
        <w:t xml:space="preserve">един от ключовите приоритети на Механизма за възстановяване и устойчивост (МВУ) подкрепата за цифровия преход чрез мерки за свързаност, насочени, наред с другото, към преодоляване на пазарните неуспехи по отношение на разгръщането на </w:t>
      </w:r>
      <w:r w:rsidR="008222AB">
        <w:t xml:space="preserve">надеждни </w:t>
      </w:r>
      <w:r w:rsidR="008222AB" w:rsidRPr="008222AB">
        <w:t>мрежи.</w:t>
      </w:r>
      <w:r w:rsidR="004B7CB2" w:rsidRPr="004B7CB2">
        <w:rPr>
          <w:lang w:val="en-US"/>
        </w:rPr>
        <w:t xml:space="preserve"> </w:t>
      </w:r>
    </w:p>
    <w:p w:rsidR="00744C00" w:rsidRDefault="00744C00" w:rsidP="007C388C">
      <w:pPr>
        <w:suppressAutoHyphens/>
        <w:spacing w:before="120" w:after="120" w:line="360" w:lineRule="auto"/>
        <w:jc w:val="both"/>
      </w:pPr>
      <w:r>
        <w:t xml:space="preserve">Основен елемент на интервенцията ще бъде </w:t>
      </w:r>
      <w:r w:rsidR="002F7D7F">
        <w:t xml:space="preserve">и </w:t>
      </w:r>
      <w:r>
        <w:t>осигуряването на</w:t>
      </w:r>
      <w:r w:rsidR="002F7D7F">
        <w:t xml:space="preserve"> свързаност за държавната мрежа</w:t>
      </w:r>
      <w:r>
        <w:t xml:space="preserve">. </w:t>
      </w:r>
    </w:p>
    <w:p w:rsidR="00744C00" w:rsidRDefault="00744C00" w:rsidP="007C388C">
      <w:pPr>
        <w:suppressAutoHyphens/>
        <w:spacing w:before="120" w:after="120" w:line="360" w:lineRule="auto"/>
        <w:jc w:val="both"/>
      </w:pPr>
      <w:r>
        <w:t>В планираната интервенция за широкомащабно разгръщане на цифрова инфраструктура са очертани две стратегически цели.</w:t>
      </w:r>
    </w:p>
    <w:p w:rsidR="00744C00" w:rsidRDefault="00744C00" w:rsidP="007C388C">
      <w:pPr>
        <w:suppressAutoHyphens/>
        <w:spacing w:before="120" w:after="120" w:line="360" w:lineRule="auto"/>
        <w:jc w:val="both"/>
      </w:pPr>
      <w:r>
        <w:t>Стратегическа цел 1: Цялостно подобряване на Единната електронна съобщителна мрежа (ЕЕСМ).</w:t>
      </w:r>
    </w:p>
    <w:p w:rsidR="00367E76" w:rsidRDefault="00367E76" w:rsidP="007C388C">
      <w:pPr>
        <w:suppressAutoHyphens/>
        <w:spacing w:before="120" w:after="120" w:line="360" w:lineRule="auto"/>
        <w:jc w:val="both"/>
      </w:pPr>
      <w:r w:rsidRPr="00367E76">
        <w:t xml:space="preserve">Единната електронна съобщителна мрежа (ЕЕСМ) е интегрирана държавна комуникационна мрежа, която се състои от 7 500 км оптична мрежа, 30 броя опорни възли и близо 100 агрегиращи възли. Мрежата работи в режим 24х7х365 и осигурява свързаност за повече от 1 200 централни и местни публични администрации и други организации от публичния сектор. </w:t>
      </w:r>
    </w:p>
    <w:p w:rsidR="00744C00" w:rsidRDefault="00744C00" w:rsidP="007C388C">
      <w:pPr>
        <w:suppressAutoHyphens/>
        <w:spacing w:before="120" w:after="120" w:line="360" w:lineRule="auto"/>
        <w:jc w:val="both"/>
      </w:pPr>
      <w:r>
        <w:t xml:space="preserve">Тази цел е съсредоточена върху </w:t>
      </w:r>
      <w:r w:rsidR="00C9047F">
        <w:t xml:space="preserve">подпомагането на </w:t>
      </w:r>
      <w:r>
        <w:t xml:space="preserve">значителното модернизиране и разширяване на </w:t>
      </w:r>
      <w:r w:rsidR="00E5261C">
        <w:t>ЕЕСМ</w:t>
      </w:r>
      <w:r>
        <w:t xml:space="preserve"> на държавната администрация. </w:t>
      </w:r>
      <w:r w:rsidR="00BE61E5">
        <w:t xml:space="preserve">Мярката </w:t>
      </w:r>
      <w:r>
        <w:t xml:space="preserve">включва </w:t>
      </w:r>
      <w:r w:rsidR="00BE61E5">
        <w:t>осигуряване на оптична свързаност към</w:t>
      </w:r>
      <w:r>
        <w:t xml:space="preserve"> 140 общински центъра</w:t>
      </w:r>
      <w:r w:rsidR="00BE61E5">
        <w:t xml:space="preserve">. </w:t>
      </w:r>
      <w:r w:rsidR="000C1D76">
        <w:t xml:space="preserve">Оптичният капацитет може да  бъде </w:t>
      </w:r>
      <w:r w:rsidR="000C1D76">
        <w:lastRenderedPageBreak/>
        <w:t>осигурен чрез изграждане на нова</w:t>
      </w:r>
      <w:r w:rsidR="000C1D76">
        <w:rPr>
          <w:lang w:val="en-US"/>
        </w:rPr>
        <w:t xml:space="preserve"> </w:t>
      </w:r>
      <w:r w:rsidR="000C1D76">
        <w:t xml:space="preserve">инфраструктура или преизползване на съществуваща такава, </w:t>
      </w:r>
      <w:r w:rsidR="00C44548">
        <w:t xml:space="preserve">като </w:t>
      </w:r>
      <w:r w:rsidR="00E51989">
        <w:t xml:space="preserve">за целта </w:t>
      </w:r>
      <w:r w:rsidR="00C44548">
        <w:t>се</w:t>
      </w:r>
      <w:r w:rsidR="000C1D76">
        <w:t xml:space="preserve"> учредява неотменимо право на ползване</w:t>
      </w:r>
      <w:r w:rsidR="00E5261C">
        <w:t xml:space="preserve"> </w:t>
      </w:r>
      <w:r w:rsidR="00E5261C">
        <w:rPr>
          <w:color w:val="000000" w:themeColor="text1"/>
        </w:rPr>
        <w:t xml:space="preserve">на инфраструктура </w:t>
      </w:r>
      <w:r w:rsidR="003078CE">
        <w:rPr>
          <w:color w:val="000000" w:themeColor="text1"/>
        </w:rPr>
        <w:t>и/</w:t>
      </w:r>
      <w:r w:rsidR="00E5261C">
        <w:rPr>
          <w:color w:val="000000" w:themeColor="text1"/>
        </w:rPr>
        <w:t>или тъмно влакно</w:t>
      </w:r>
      <w:r w:rsidR="000C1D76">
        <w:t xml:space="preserve"> </w:t>
      </w:r>
      <w:r w:rsidR="000C1D76">
        <w:rPr>
          <w:lang w:val="en-US"/>
        </w:rPr>
        <w:t>(IRU).</w:t>
      </w:r>
      <w:r>
        <w:t xml:space="preserve"> </w:t>
      </w:r>
      <w:r w:rsidRPr="002F7D7F">
        <w:t xml:space="preserve">В още 45 </w:t>
      </w:r>
      <w:r w:rsidR="000C1D76" w:rsidRPr="002F7D7F">
        <w:t xml:space="preserve">локации </w:t>
      </w:r>
      <w:r w:rsidRPr="002F7D7F">
        <w:t xml:space="preserve">съществуващите мрежи </w:t>
      </w:r>
      <w:r w:rsidR="000C1D76" w:rsidRPr="002F7D7F">
        <w:t>следва да б</w:t>
      </w:r>
      <w:r w:rsidRPr="002F7D7F">
        <w:t>ъдат модернизирани</w:t>
      </w:r>
      <w:r w:rsidR="00620630" w:rsidRPr="002F7D7F">
        <w:t xml:space="preserve"> и/или профилактирани</w:t>
      </w:r>
      <w:r w:rsidRPr="002F7D7F">
        <w:t>,</w:t>
      </w:r>
      <w:r w:rsidR="00620630" w:rsidRPr="002F7D7F">
        <w:t xml:space="preserve"> включително чрез подмяна на пасивни елементи с цел изграждане на точки за достъп</w:t>
      </w:r>
      <w:r w:rsidR="00620630" w:rsidRPr="002F7D7F">
        <w:rPr>
          <w:lang w:val="en-US"/>
        </w:rPr>
        <w:t>,</w:t>
      </w:r>
      <w:r w:rsidR="00620630" w:rsidRPr="002F7D7F">
        <w:t xml:space="preserve"> </w:t>
      </w:r>
      <w:r w:rsidR="00DC53B3" w:rsidRPr="002F7D7F">
        <w:t xml:space="preserve">част от държавната мрежа, разположени в общински центрове и свързани към агрегиращи сайтове чрез връзки съответно </w:t>
      </w:r>
      <w:r w:rsidR="00E05D9C" w:rsidRPr="002F7D7F">
        <w:t>2х40Gbps или 2х100Gbps.</w:t>
      </w:r>
      <w:r w:rsidR="00E20894">
        <w:t xml:space="preserve"> </w:t>
      </w:r>
    </w:p>
    <w:p w:rsidR="00072E76" w:rsidRPr="00072E76" w:rsidRDefault="00072E76" w:rsidP="00072E76">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color w:val="000000" w:themeColor="text1"/>
        </w:rPr>
      </w:pPr>
      <w:r w:rsidRPr="007C388C">
        <w:rPr>
          <w:b/>
          <w:color w:val="000000" w:themeColor="text1"/>
        </w:rPr>
        <w:t>ВАЖНО:</w:t>
      </w:r>
      <w:r w:rsidRPr="007C388C">
        <w:rPr>
          <w:color w:val="000000" w:themeColor="text1"/>
        </w:rPr>
        <w:t xml:space="preserve"> </w:t>
      </w:r>
      <w:r>
        <w:t>За нуждите на ЕЕСМ следва да се осигури безвъзмездна поддръжка на свързаността за държавната мрежа за период от 20 години след одобрение на окончателния отчет по проекта.</w:t>
      </w:r>
    </w:p>
    <w:p w:rsidR="00744C00" w:rsidRDefault="00744C00" w:rsidP="007C388C">
      <w:pPr>
        <w:suppressAutoHyphens/>
        <w:spacing w:before="120" w:after="120" w:line="360" w:lineRule="auto"/>
        <w:jc w:val="both"/>
      </w:pPr>
      <w:r>
        <w:t xml:space="preserve">Стратегическа цел 2: </w:t>
      </w:r>
      <w:r w:rsidR="00686E84">
        <w:t>Преодоляване на „</w:t>
      </w:r>
      <w:r w:rsidR="00686E84" w:rsidRPr="00686E84">
        <w:t>цифровото разделение</w:t>
      </w:r>
      <w:r w:rsidR="00686E84">
        <w:t>“</w:t>
      </w:r>
      <w:r w:rsidR="00686E84" w:rsidRPr="00686E84">
        <w:t xml:space="preserve"> чрез подпомагане на изграждането на мрежи с много голям капац</w:t>
      </w:r>
      <w:r w:rsidR="00E20894">
        <w:t>итет (ММГК)</w:t>
      </w:r>
      <w:r w:rsidR="00E5261C">
        <w:t xml:space="preserve"> </w:t>
      </w:r>
      <w:r w:rsidR="00686E84" w:rsidRPr="00686E84">
        <w:t>в слабонаселени и селски райони.</w:t>
      </w:r>
    </w:p>
    <w:p w:rsidR="004002AE" w:rsidRDefault="00744C00" w:rsidP="007C388C">
      <w:pPr>
        <w:suppressAutoHyphens/>
        <w:spacing w:before="120" w:after="120" w:line="360" w:lineRule="auto"/>
        <w:jc w:val="both"/>
        <w:rPr>
          <w:lang w:val="en-US"/>
        </w:rPr>
      </w:pPr>
      <w:r>
        <w:t xml:space="preserve">Втората стратегическа цел е насочена към смекчаване на „цифровото разделение“ чрез насърчаване на изграждането на мрежи с много висок капацитет (ММГК) в </w:t>
      </w:r>
      <w:r w:rsidR="00E5261C">
        <w:t>отдалечени</w:t>
      </w:r>
      <w:r>
        <w:t xml:space="preserve">, слабо населени и селски райони. Инициативата е насочена към области, които са особено засегнати от инфраструктурни дефицити, произтичащи от недостатъци на пазара. Специално внимание ще бъде обърнато на регионите, които нямат надеждна регионална или местна оптична свързаност, която е от съществено значение за предаването на данни до ключови възли в регионалните и общинските градове. </w:t>
      </w:r>
      <w:r w:rsidRPr="00B250C6">
        <w:t xml:space="preserve">Целта е </w:t>
      </w:r>
      <w:r w:rsidR="00A72C9D" w:rsidRPr="00B250C6">
        <w:t xml:space="preserve"> да</w:t>
      </w:r>
      <w:r w:rsidR="00A72C9D">
        <w:t xml:space="preserve"> се даде възможност на още 350 000 души да имат достъп до услуги, основани на ММГК, предоставяни от технологично</w:t>
      </w:r>
      <w:r w:rsidR="00D82CB1">
        <w:t xml:space="preserve"> неутрална</w:t>
      </w:r>
      <w:r w:rsidR="00A72C9D">
        <w:t xml:space="preserve"> инфраструктура</w:t>
      </w:r>
      <w:r w:rsidR="00F05347">
        <w:t>/мрежа</w:t>
      </w:r>
      <w:r w:rsidR="00A72C9D">
        <w:t>. Най-малко 50% от населените места, обхванати от тази мяр</w:t>
      </w:r>
      <w:r w:rsidR="002F7D7F">
        <w:t>ка</w:t>
      </w:r>
      <w:r w:rsidR="00344A69">
        <w:t xml:space="preserve"> ще</w:t>
      </w:r>
      <w:r w:rsidR="002F7D7F">
        <w:t xml:space="preserve"> са в </w:t>
      </w:r>
      <w:r w:rsidR="00A72C9D">
        <w:t>о</w:t>
      </w:r>
      <w:r w:rsidR="002F7D7F">
        <w:t>тдалечени, селски и слабо</w:t>
      </w:r>
      <w:r w:rsidR="005529FD">
        <w:t xml:space="preserve"> </w:t>
      </w:r>
      <w:r w:rsidR="00A72C9D">
        <w:t xml:space="preserve">населени райони, където няма пазарен интерес за изграждане на </w:t>
      </w:r>
      <w:r w:rsidR="00274969">
        <w:t>ММГК</w:t>
      </w:r>
      <w:r w:rsidR="00A72C9D">
        <w:t>.</w:t>
      </w:r>
      <w:r w:rsidR="00A72C9D">
        <w:rPr>
          <w:lang w:val="en-US"/>
        </w:rPr>
        <w:t xml:space="preserve"> </w:t>
      </w:r>
    </w:p>
    <w:p w:rsidR="007C388C" w:rsidRDefault="007C388C" w:rsidP="007C388C">
      <w:pPr>
        <w:suppressAutoHyphens/>
        <w:spacing w:before="120" w:after="120" w:line="360" w:lineRule="auto"/>
        <w:jc w:val="both"/>
      </w:pPr>
    </w:p>
    <w:p w:rsidR="003F1496" w:rsidRPr="00E13676" w:rsidRDefault="003F1496" w:rsidP="007C388C">
      <w:pPr>
        <w:pStyle w:val="Heading2"/>
        <w:suppressAutoHyphens/>
        <w:spacing w:after="120" w:line="360" w:lineRule="auto"/>
        <w:rPr>
          <w:rFonts w:ascii="Times New Roman" w:hAnsi="Times New Roman"/>
          <w:sz w:val="24"/>
          <w:szCs w:val="24"/>
        </w:rPr>
      </w:pPr>
      <w:bookmarkStart w:id="13" w:name="_Toc183440889"/>
      <w:r w:rsidRPr="00E13676">
        <w:rPr>
          <w:rFonts w:ascii="Times New Roman" w:hAnsi="Times New Roman"/>
          <w:sz w:val="24"/>
          <w:szCs w:val="24"/>
        </w:rPr>
        <w:t>6. Индикатори:</w:t>
      </w:r>
      <w:bookmarkEnd w:id="12"/>
      <w:bookmarkEnd w:id="13"/>
    </w:p>
    <w:p w:rsidR="003F1496" w:rsidRPr="00E13676" w:rsidRDefault="003F1496" w:rsidP="007C388C">
      <w:pPr>
        <w:suppressAutoHyphens/>
        <w:spacing w:before="120" w:after="120" w:line="360" w:lineRule="auto"/>
        <w:jc w:val="both"/>
      </w:pPr>
      <w:r w:rsidRPr="00E13676">
        <w:lastRenderedPageBreak/>
        <w:t>Общи индикатори, свързани с подкрепата по линия на Механизма за възстановяване и устойчивост:</w:t>
      </w:r>
    </w:p>
    <w:p w:rsidR="00684EFC" w:rsidRPr="00684EFC" w:rsidRDefault="00274969" w:rsidP="007C388C">
      <w:pPr>
        <w:pStyle w:val="ListParagraph"/>
        <w:numPr>
          <w:ilvl w:val="0"/>
          <w:numId w:val="26"/>
        </w:numPr>
        <w:suppressAutoHyphens/>
        <w:spacing w:line="360" w:lineRule="auto"/>
        <w:ind w:left="0" w:firstLine="567"/>
        <w:rPr>
          <w:rFonts w:ascii="Times New Roman" w:hAnsi="Times New Roman"/>
          <w:sz w:val="24"/>
          <w:szCs w:val="24"/>
        </w:rPr>
      </w:pPr>
      <w:r w:rsidRPr="00684EFC">
        <w:rPr>
          <w:rFonts w:ascii="Times New Roman" w:hAnsi="Times New Roman"/>
          <w:sz w:val="24"/>
          <w:szCs w:val="24"/>
        </w:rPr>
        <w:t>350 000 души с достъп до услуги, основани на ММГК, предоставяни от технолог</w:t>
      </w:r>
      <w:r w:rsidR="00C15E06" w:rsidRPr="00684EFC">
        <w:rPr>
          <w:rFonts w:ascii="Times New Roman" w:hAnsi="Times New Roman"/>
          <w:sz w:val="24"/>
          <w:szCs w:val="24"/>
        </w:rPr>
        <w:t xml:space="preserve">ично </w:t>
      </w:r>
      <w:r w:rsidR="003C303B" w:rsidRPr="00684EFC">
        <w:rPr>
          <w:rFonts w:ascii="Times New Roman" w:hAnsi="Times New Roman"/>
          <w:sz w:val="24"/>
          <w:szCs w:val="24"/>
        </w:rPr>
        <w:t>неутрална</w:t>
      </w:r>
      <w:r w:rsidR="00684EFC" w:rsidRPr="00684EFC">
        <w:rPr>
          <w:rFonts w:ascii="Times New Roman" w:hAnsi="Times New Roman"/>
          <w:sz w:val="24"/>
          <w:szCs w:val="24"/>
        </w:rPr>
        <w:t xml:space="preserve"> инфраструктура</w:t>
      </w:r>
      <w:r w:rsidR="00C879CC">
        <w:rPr>
          <w:rFonts w:ascii="Times New Roman" w:hAnsi="Times New Roman"/>
          <w:sz w:val="24"/>
          <w:szCs w:val="24"/>
        </w:rPr>
        <w:t>/мрежа</w:t>
      </w:r>
      <w:r w:rsidR="00684EFC" w:rsidRPr="00684EFC">
        <w:rPr>
          <w:rFonts w:ascii="Times New Roman" w:hAnsi="Times New Roman"/>
          <w:sz w:val="24"/>
          <w:szCs w:val="24"/>
        </w:rPr>
        <w:t>;</w:t>
      </w:r>
    </w:p>
    <w:p w:rsidR="00684EFC" w:rsidRPr="00CC4039" w:rsidRDefault="00A86204" w:rsidP="007C388C">
      <w:pPr>
        <w:pStyle w:val="ListParagraph"/>
        <w:numPr>
          <w:ilvl w:val="0"/>
          <w:numId w:val="26"/>
        </w:numPr>
        <w:suppressAutoHyphens/>
        <w:spacing w:line="360" w:lineRule="auto"/>
        <w:ind w:left="0" w:firstLine="567"/>
        <w:rPr>
          <w:rFonts w:ascii="Times New Roman" w:hAnsi="Times New Roman"/>
          <w:sz w:val="24"/>
          <w:szCs w:val="24"/>
        </w:rPr>
      </w:pPr>
      <w:r>
        <w:rPr>
          <w:rFonts w:ascii="Times New Roman" w:hAnsi="Times New Roman"/>
          <w:sz w:val="24"/>
          <w:szCs w:val="24"/>
        </w:rPr>
        <w:t xml:space="preserve">От общо 185 общински центъра – </w:t>
      </w:r>
      <w:r w:rsidR="00684EFC" w:rsidRPr="00684EFC">
        <w:rPr>
          <w:rFonts w:ascii="Times New Roman" w:hAnsi="Times New Roman"/>
          <w:sz w:val="24"/>
          <w:szCs w:val="24"/>
        </w:rPr>
        <w:t>разширяване на оптичната свързаност до 140 общински центъра</w:t>
      </w:r>
      <w:r w:rsidR="000562E9">
        <w:rPr>
          <w:rFonts w:ascii="Times New Roman" w:hAnsi="Times New Roman"/>
          <w:sz w:val="24"/>
          <w:szCs w:val="24"/>
        </w:rPr>
        <w:t>, като</w:t>
      </w:r>
      <w:r w:rsidR="00684EFC" w:rsidRPr="00684EFC">
        <w:rPr>
          <w:rFonts w:ascii="Times New Roman" w:hAnsi="Times New Roman"/>
          <w:sz w:val="24"/>
          <w:szCs w:val="24"/>
        </w:rPr>
        <w:t xml:space="preserve"> оптичният капацитет може да бъде осигурен чрез изграждане на нова инфраструктура, преизползване на съществуваща такава и/или чрез учредяване на неотменимо право на ползване на инфраструктура или тъмно влакно (IRU); 45 локации</w:t>
      </w:r>
      <w:r w:rsidR="00C04C68">
        <w:rPr>
          <w:rFonts w:ascii="Times New Roman" w:hAnsi="Times New Roman"/>
          <w:sz w:val="24"/>
          <w:szCs w:val="24"/>
        </w:rPr>
        <w:t>, до ко</w:t>
      </w:r>
      <w:r w:rsidR="00B41785">
        <w:rPr>
          <w:rFonts w:ascii="Times New Roman" w:hAnsi="Times New Roman"/>
          <w:sz w:val="24"/>
          <w:szCs w:val="24"/>
        </w:rPr>
        <w:t>ито има</w:t>
      </w:r>
      <w:r>
        <w:rPr>
          <w:rFonts w:ascii="Times New Roman" w:hAnsi="Times New Roman"/>
          <w:sz w:val="24"/>
          <w:szCs w:val="24"/>
        </w:rPr>
        <w:t xml:space="preserve"> изградени и</w:t>
      </w:r>
      <w:r w:rsidR="00684EFC" w:rsidRPr="00684EFC">
        <w:rPr>
          <w:rFonts w:ascii="Times New Roman" w:hAnsi="Times New Roman"/>
          <w:sz w:val="24"/>
          <w:szCs w:val="24"/>
        </w:rPr>
        <w:t xml:space="preserve"> съществуващите </w:t>
      </w:r>
      <w:r w:rsidR="001D5963">
        <w:rPr>
          <w:rFonts w:ascii="Times New Roman" w:hAnsi="Times New Roman"/>
          <w:sz w:val="24"/>
          <w:szCs w:val="24"/>
        </w:rPr>
        <w:t xml:space="preserve">високоскоростни </w:t>
      </w:r>
      <w:r w:rsidR="00684EFC" w:rsidRPr="00684EFC">
        <w:rPr>
          <w:rFonts w:ascii="Times New Roman" w:hAnsi="Times New Roman"/>
          <w:sz w:val="24"/>
          <w:szCs w:val="24"/>
        </w:rPr>
        <w:t>мрежи</w:t>
      </w:r>
      <w:r w:rsidR="006B052D">
        <w:rPr>
          <w:rFonts w:ascii="Times New Roman" w:hAnsi="Times New Roman"/>
          <w:sz w:val="24"/>
          <w:szCs w:val="24"/>
        </w:rPr>
        <w:t>, в рамките на проекта</w:t>
      </w:r>
      <w:r w:rsidR="00684EFC" w:rsidRPr="00684EFC">
        <w:rPr>
          <w:rFonts w:ascii="Times New Roman" w:hAnsi="Times New Roman"/>
          <w:sz w:val="24"/>
          <w:szCs w:val="24"/>
        </w:rPr>
        <w:t xml:space="preserve"> следва да бъдат модернизирани и/или профилактирани, включително чрез подмяна на пасивни елементи с цел изграждане на точки за достъп, част от държавната мрежа, разположени в общински центрове и свързани към агрегиращи сайтове чрез връзки съответно 2х40Gbps или 2х100Gbps;</w:t>
      </w:r>
    </w:p>
    <w:p w:rsidR="00A43500" w:rsidRDefault="0057797A" w:rsidP="007C388C">
      <w:pPr>
        <w:pStyle w:val="ListParagraph"/>
        <w:numPr>
          <w:ilvl w:val="0"/>
          <w:numId w:val="26"/>
        </w:numPr>
        <w:suppressAutoHyphens/>
        <w:spacing w:line="360" w:lineRule="auto"/>
        <w:ind w:left="0" w:firstLine="567"/>
        <w:rPr>
          <w:rFonts w:ascii="Times New Roman" w:hAnsi="Times New Roman"/>
          <w:sz w:val="24"/>
          <w:szCs w:val="24"/>
        </w:rPr>
      </w:pPr>
      <w:r>
        <w:rPr>
          <w:rFonts w:ascii="Times New Roman" w:hAnsi="Times New Roman"/>
          <w:sz w:val="24"/>
          <w:szCs w:val="24"/>
        </w:rPr>
        <w:t xml:space="preserve">не по-малко от </w:t>
      </w:r>
      <w:r w:rsidR="00BC28C9" w:rsidRPr="00684EFC">
        <w:rPr>
          <w:rFonts w:ascii="Times New Roman" w:hAnsi="Times New Roman"/>
          <w:sz w:val="24"/>
          <w:szCs w:val="24"/>
          <w:lang w:val="en-US"/>
        </w:rPr>
        <w:t>700</w:t>
      </w:r>
      <w:r w:rsidR="007B457E" w:rsidRPr="00684EFC">
        <w:rPr>
          <w:rFonts w:ascii="Times New Roman" w:hAnsi="Times New Roman"/>
          <w:sz w:val="24"/>
          <w:szCs w:val="24"/>
        </w:rPr>
        <w:t xml:space="preserve"> базови станции, привързани към новоизграден</w:t>
      </w:r>
      <w:r w:rsidR="004B125D" w:rsidRPr="00684EFC">
        <w:rPr>
          <w:rFonts w:ascii="Times New Roman" w:hAnsi="Times New Roman"/>
          <w:sz w:val="24"/>
          <w:szCs w:val="24"/>
        </w:rPr>
        <w:t>и</w:t>
      </w:r>
      <w:r w:rsidR="007B457E" w:rsidRPr="00684EFC">
        <w:rPr>
          <w:rFonts w:ascii="Times New Roman" w:hAnsi="Times New Roman"/>
          <w:sz w:val="24"/>
          <w:szCs w:val="24"/>
        </w:rPr>
        <w:t>т</w:t>
      </w:r>
      <w:r w:rsidR="004B125D" w:rsidRPr="00684EFC">
        <w:rPr>
          <w:rFonts w:ascii="Times New Roman" w:hAnsi="Times New Roman"/>
          <w:sz w:val="24"/>
          <w:szCs w:val="24"/>
        </w:rPr>
        <w:t>е</w:t>
      </w:r>
      <w:r w:rsidR="007B457E" w:rsidRPr="00684EFC">
        <w:rPr>
          <w:rFonts w:ascii="Times New Roman" w:hAnsi="Times New Roman"/>
          <w:sz w:val="24"/>
          <w:szCs w:val="24"/>
        </w:rPr>
        <w:t xml:space="preserve"> мреж</w:t>
      </w:r>
      <w:r w:rsidR="004B125D" w:rsidRPr="00684EFC">
        <w:rPr>
          <w:rFonts w:ascii="Times New Roman" w:hAnsi="Times New Roman"/>
          <w:sz w:val="24"/>
          <w:szCs w:val="24"/>
        </w:rPr>
        <w:t>и</w:t>
      </w:r>
      <w:r w:rsidR="007B457E" w:rsidRPr="00684EFC">
        <w:rPr>
          <w:rFonts w:ascii="Times New Roman" w:hAnsi="Times New Roman"/>
          <w:sz w:val="24"/>
          <w:szCs w:val="24"/>
        </w:rPr>
        <w:t xml:space="preserve"> за пренос.</w:t>
      </w:r>
    </w:p>
    <w:p w:rsidR="003F1496" w:rsidRDefault="003F1496" w:rsidP="007C388C">
      <w:pPr>
        <w:suppressAutoHyphens/>
        <w:spacing w:before="120" w:after="120" w:line="360" w:lineRule="auto"/>
        <w:jc w:val="both"/>
        <w:rPr>
          <w:b/>
          <w:bCs/>
        </w:rPr>
      </w:pPr>
      <w:r w:rsidRPr="00E13676">
        <w:rPr>
          <w:b/>
          <w:bCs/>
        </w:rPr>
        <w:t>Крайна цел, свързана с изпълнението на инвестицията</w:t>
      </w:r>
    </w:p>
    <w:p w:rsidR="00181B91" w:rsidRDefault="00181B91" w:rsidP="007C388C">
      <w:pPr>
        <w:suppressAutoHyphens/>
        <w:spacing w:before="120" w:after="120" w:line="360" w:lineRule="auto"/>
        <w:jc w:val="both"/>
        <w:rPr>
          <w:bCs/>
        </w:rPr>
      </w:pPr>
      <w:r>
        <w:rPr>
          <w:bCs/>
        </w:rPr>
        <w:t xml:space="preserve">Изградени </w:t>
      </w:r>
      <w:r w:rsidRPr="00181B91">
        <w:rPr>
          <w:bCs/>
        </w:rPr>
        <w:t>мреж</w:t>
      </w:r>
      <w:r w:rsidR="00252989">
        <w:rPr>
          <w:bCs/>
        </w:rPr>
        <w:t>и</w:t>
      </w:r>
      <w:r w:rsidRPr="00181B91">
        <w:rPr>
          <w:bCs/>
        </w:rPr>
        <w:t xml:space="preserve"> за пренос</w:t>
      </w:r>
      <w:r w:rsidR="00252989">
        <w:rPr>
          <w:bCs/>
        </w:rPr>
        <w:t xml:space="preserve">, осигуряващи </w:t>
      </w:r>
      <w:r w:rsidRPr="00181B91">
        <w:rPr>
          <w:bCs/>
        </w:rPr>
        <w:t>високоскоростна свързаност по посочените индикатори.</w:t>
      </w:r>
    </w:p>
    <w:p w:rsidR="007C388C" w:rsidRPr="00181B91" w:rsidRDefault="007C388C" w:rsidP="007C388C">
      <w:pPr>
        <w:suppressAutoHyphens/>
        <w:spacing w:before="120" w:after="120" w:line="360" w:lineRule="auto"/>
        <w:jc w:val="both"/>
        <w:rPr>
          <w:bCs/>
        </w:rPr>
      </w:pPr>
    </w:p>
    <w:p w:rsidR="003F1496" w:rsidRPr="00E13676" w:rsidRDefault="003F1496" w:rsidP="007C388C">
      <w:pPr>
        <w:pStyle w:val="Heading2"/>
        <w:suppressAutoHyphens/>
        <w:spacing w:after="120" w:line="360" w:lineRule="auto"/>
        <w:rPr>
          <w:rFonts w:ascii="Times New Roman" w:hAnsi="Times New Roman"/>
          <w:sz w:val="24"/>
          <w:szCs w:val="24"/>
        </w:rPr>
      </w:pPr>
      <w:bookmarkStart w:id="14" w:name="_Toc106285924"/>
      <w:bookmarkStart w:id="15" w:name="_Toc183440890"/>
      <w:r w:rsidRPr="00E13676">
        <w:rPr>
          <w:rFonts w:ascii="Times New Roman" w:hAnsi="Times New Roman"/>
          <w:sz w:val="24"/>
          <w:szCs w:val="24"/>
        </w:rPr>
        <w:t>7. Общ размер на средствата по процедурата:</w:t>
      </w:r>
      <w:bookmarkEnd w:id="14"/>
      <w:bookmarkEnd w:id="15"/>
    </w:p>
    <w:p w:rsidR="00886DE9" w:rsidRDefault="00D72571" w:rsidP="007C388C">
      <w:pPr>
        <w:suppressAutoHyphens/>
        <w:spacing w:before="120" w:after="120" w:line="360" w:lineRule="auto"/>
        <w:jc w:val="both"/>
        <w:rPr>
          <w:color w:val="000000"/>
        </w:rPr>
      </w:pPr>
      <w:r w:rsidRPr="00C26F59">
        <w:rPr>
          <w:color w:val="000000"/>
        </w:rPr>
        <w:t xml:space="preserve">Общият размер на безвъзмездното финансиране </w:t>
      </w:r>
      <w:r>
        <w:rPr>
          <w:color w:val="000000"/>
        </w:rPr>
        <w:t>по п</w:t>
      </w:r>
      <w:r w:rsidRPr="00A20B19">
        <w:rPr>
          <w:color w:val="000000"/>
        </w:rPr>
        <w:t>роцедура</w:t>
      </w:r>
      <w:r w:rsidRPr="00C26F59">
        <w:rPr>
          <w:color w:val="000000"/>
        </w:rPr>
        <w:t xml:space="preserve">  „Широкомащабно разгръщане на цифрова инфраструктура на територията на България“ (К7.И1) </w:t>
      </w:r>
      <w:r w:rsidR="000B3E9B">
        <w:rPr>
          <w:color w:val="000000"/>
        </w:rPr>
        <w:t xml:space="preserve">от </w:t>
      </w:r>
      <w:r w:rsidRPr="00C26F59">
        <w:rPr>
          <w:color w:val="000000"/>
        </w:rPr>
        <w:t>НПВУ е 390 714 710,83 лв. без ДДС и  78 142 942,17 лв. ДДС.</w:t>
      </w:r>
    </w:p>
    <w:p w:rsidR="007C388C" w:rsidRDefault="007C388C" w:rsidP="007C388C">
      <w:pPr>
        <w:suppressAutoHyphens/>
        <w:spacing w:before="120" w:after="120" w:line="360" w:lineRule="auto"/>
        <w:jc w:val="both"/>
      </w:pPr>
    </w:p>
    <w:p w:rsidR="003F1496" w:rsidRPr="00E13676" w:rsidRDefault="003F1496" w:rsidP="007C388C">
      <w:pPr>
        <w:pStyle w:val="Heading2"/>
        <w:suppressAutoHyphens/>
        <w:spacing w:after="120" w:line="360" w:lineRule="auto"/>
        <w:rPr>
          <w:rFonts w:ascii="Times New Roman" w:hAnsi="Times New Roman"/>
          <w:sz w:val="24"/>
          <w:szCs w:val="24"/>
        </w:rPr>
      </w:pPr>
      <w:bookmarkStart w:id="16" w:name="_Toc183440891"/>
      <w:bookmarkStart w:id="17" w:name="_Hlk143173506"/>
      <w:r w:rsidRPr="00E13676">
        <w:rPr>
          <w:rFonts w:ascii="Times New Roman" w:hAnsi="Times New Roman"/>
          <w:sz w:val="24"/>
          <w:szCs w:val="24"/>
        </w:rPr>
        <w:t>8. Приложим режим на държавни помощи:</w:t>
      </w:r>
      <w:bookmarkEnd w:id="16"/>
    </w:p>
    <w:p w:rsidR="00170995" w:rsidRDefault="00170995" w:rsidP="007C388C">
      <w:pPr>
        <w:suppressAutoHyphens/>
        <w:spacing w:before="120" w:after="120" w:line="360" w:lineRule="auto"/>
        <w:jc w:val="both"/>
      </w:pPr>
      <w:r>
        <w:lastRenderedPageBreak/>
        <w:t>По настоящата процедура Кандидатите прилагат режима на държавни помощи, определен в член 52</w:t>
      </w:r>
      <w:r w:rsidR="009F4CFE">
        <w:t>г</w:t>
      </w:r>
      <w:r>
        <w:t xml:space="preserve"> от </w:t>
      </w:r>
      <w:r w:rsidR="005C0655">
        <w:t>Регламент (ЕС) 2023/1315 на Комисията от 23 юни 2023 г. за изменение на Регламент (ЕС) № 651/2014 за обявяване на някои категории помощи за съвместими с вътрешния пазар в приложение на членове 107 и 108 от Договора</w:t>
      </w:r>
      <w:r w:rsidR="00264821">
        <w:t xml:space="preserve"> (Общ</w:t>
      </w:r>
      <w:r>
        <w:t xml:space="preserve"> регла</w:t>
      </w:r>
      <w:r w:rsidR="009F4CFE">
        <w:t>мент за групово освобождаване (</w:t>
      </w:r>
      <w:r>
        <w:t>ОРГО)</w:t>
      </w:r>
      <w:r w:rsidR="00F67F13">
        <w:t>, подробно разписан в Приложение 14, което е неразделна част от настоящите Условия за кандидатстване.</w:t>
      </w:r>
    </w:p>
    <w:p w:rsidR="00170995" w:rsidRDefault="00170995" w:rsidP="007C388C">
      <w:pPr>
        <w:suppressAutoHyphens/>
        <w:spacing w:before="120" w:after="120" w:line="360" w:lineRule="auto"/>
        <w:jc w:val="both"/>
      </w:pPr>
      <w:r>
        <w:t xml:space="preserve">Предоставянето на средствата по настоящата </w:t>
      </w:r>
      <w:r w:rsidR="008A1977">
        <w:t>процедура</w:t>
      </w:r>
      <w:r>
        <w:t>, която е част от НПВУ, се осъществява при спазване на разпоредбите на Постановление №114 на МС от 08.06.2022 г. за определяне на детайлни правила за предоставяне на средства на крайни получатели от Механизма за възстановяване и устойчивост (ПМС №114/2022).</w:t>
      </w:r>
    </w:p>
    <w:p w:rsidR="00B96670" w:rsidRDefault="00B96670" w:rsidP="007C388C">
      <w:pPr>
        <w:suppressAutoHyphens/>
        <w:spacing w:before="120" w:after="120" w:line="360" w:lineRule="auto"/>
        <w:jc w:val="both"/>
      </w:pPr>
      <w:r w:rsidRPr="00B96670">
        <w:t>В изпълнение на чл. 7 от Регламент на Комисията (ЕС) № 651/2014 от 17 юни 2014 година, за да се изчислят интензитетът на помощта и допустимите разходи, всички използвани данни се събират преди приспадането на данъци или други такси. Данъкът върху добавената стойност, начислен върху допустимите разходи, който подлежи на възстановяване съгласно приложимото национално данъчно право, не се взема предвид при изчисляване на интензитета на помощта и допустимите разходи. Допустимите разходи се подкрепят с документни доказателства, които са ясни, конкретни и актуални.</w:t>
      </w:r>
    </w:p>
    <w:p w:rsidR="00170995" w:rsidRDefault="00170995" w:rsidP="007C388C">
      <w:pPr>
        <w:suppressAutoHyphens/>
        <w:spacing w:before="120" w:after="120" w:line="360" w:lineRule="auto"/>
        <w:jc w:val="both"/>
      </w:pPr>
      <w:r>
        <w:t xml:space="preserve">Данните за получени държавни помощи от кандидата следва да бъдат надлежно посочени в Декларацията за държавни помощи (Приложение 2). Помощта се счита за получена от момента на сключване на договора за финансиране за нейното предоставяне. В случай че след подаване на предложението за изпълнение на инвестиция настъпи промяна по отношение на получената държавна помощ, кандидатът следва да уведоми писмено СНД и да изпрати нова Декларация за държавни помощи (Приложение 2), с попълнени актуални данни в нея, в срок от 5 (пет) работни дни чрез модул </w:t>
      </w:r>
      <w:r w:rsidR="007527F2">
        <w:t>„</w:t>
      </w:r>
      <w:r>
        <w:t>Комуникация с УО</w:t>
      </w:r>
      <w:r w:rsidR="007527F2">
        <w:t>“</w:t>
      </w:r>
      <w:r>
        <w:t xml:space="preserve"> в Информационната система за Механизма (ИСМ) - Информационната система за управление и наблюдение на средствата от ЕС в България 2020 (ИСУН 2020), раздел </w:t>
      </w:r>
      <w:r w:rsidR="007527F2">
        <w:t>„</w:t>
      </w:r>
      <w:r>
        <w:t>Национален план за възстановяване и устойчивост</w:t>
      </w:r>
      <w:r w:rsidR="007527F2">
        <w:t>“</w:t>
      </w:r>
      <w:r>
        <w:t xml:space="preserve"> (НПВУ).</w:t>
      </w:r>
    </w:p>
    <w:p w:rsidR="00170995" w:rsidRDefault="00170995" w:rsidP="007C388C">
      <w:pPr>
        <w:suppressAutoHyphens/>
        <w:spacing w:before="120" w:after="120" w:line="360" w:lineRule="auto"/>
        <w:jc w:val="both"/>
      </w:pPr>
      <w:r>
        <w:lastRenderedPageBreak/>
        <w:t>Кандидатите нямат право да подават предложения за изпълнение на инвестиция по процедурата за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 или на инвестиция</w:t>
      </w:r>
      <w:r w:rsidR="00B23701">
        <w:t>, по която работата е започнала</w:t>
      </w:r>
      <w:r w:rsidRPr="00B23701">
        <w:rPr>
          <w:rStyle w:val="FootnoteReference"/>
        </w:rPr>
        <w:footnoteReference w:id="3"/>
      </w:r>
      <w:r w:rsidRPr="00B23701">
        <w:t>.</w:t>
      </w:r>
    </w:p>
    <w:p w:rsidR="00170995" w:rsidRDefault="00170995" w:rsidP="007C388C">
      <w:pPr>
        <w:suppressAutoHyphens/>
        <w:spacing w:before="120" w:after="120" w:line="360" w:lineRule="auto"/>
        <w:jc w:val="both"/>
      </w:pPr>
      <w:r>
        <w:t>Съгласно чл. 38 от Закона за държавните помощи възстановяването на неправомерна и несъвместима държавна помощ или на неправилно използвана държавна помощ се извършва въз основа на решение на Европейската комисия с разпореждане за възстановяване и влязъл в сила акт за установяване на публично вземане, когато това е приложимо. Вземанията подлежат на събиране по реда на Данъчно-осигурителния процесуален кодекс (ДОПК) от органите на Националната агенция за приходите.</w:t>
      </w:r>
    </w:p>
    <w:p w:rsidR="00170995" w:rsidRDefault="00170995" w:rsidP="007C388C">
      <w:pPr>
        <w:suppressAutoHyphens/>
        <w:spacing w:before="120" w:after="120" w:line="360" w:lineRule="auto"/>
        <w:jc w:val="both"/>
      </w:pPr>
      <w:r>
        <w:t>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договорите за финансиране с крайните получатели.</w:t>
      </w:r>
    </w:p>
    <w:p w:rsidR="0034019E" w:rsidRDefault="00170995" w:rsidP="007C388C">
      <w:pPr>
        <w:suppressAutoHyphens/>
        <w:spacing w:before="120" w:after="120" w:line="360" w:lineRule="auto"/>
        <w:jc w:val="both"/>
        <w:rPr>
          <w:b/>
        </w:rPr>
      </w:pPr>
      <w:r w:rsidRPr="004B1C93">
        <w:rPr>
          <w:b/>
        </w:rPr>
        <w:t xml:space="preserve">След публикуване на настоящите Условия за кандидатстване не са допустими изменения, които могат да повлияят на съответствието на </w:t>
      </w:r>
      <w:r w:rsidR="00861F5A" w:rsidRPr="004B1C93">
        <w:rPr>
          <w:b/>
        </w:rPr>
        <w:t>процедурата с европейското и национално законодателство</w:t>
      </w:r>
      <w:r w:rsidRPr="004B1C93">
        <w:rPr>
          <w:b/>
        </w:rPr>
        <w:t>.</w:t>
      </w:r>
    </w:p>
    <w:p w:rsidR="007C388C" w:rsidRPr="004B1C93" w:rsidRDefault="007C388C" w:rsidP="007C388C">
      <w:pPr>
        <w:suppressAutoHyphens/>
        <w:spacing w:before="120" w:after="120" w:line="360" w:lineRule="auto"/>
        <w:jc w:val="both"/>
        <w:rPr>
          <w:b/>
        </w:rPr>
      </w:pPr>
    </w:p>
    <w:p w:rsidR="003F1496" w:rsidRPr="00E13676" w:rsidRDefault="003F1496" w:rsidP="007C388C">
      <w:pPr>
        <w:pStyle w:val="Heading2"/>
        <w:suppressAutoHyphens/>
        <w:spacing w:after="120" w:line="360" w:lineRule="auto"/>
        <w:rPr>
          <w:rFonts w:ascii="Times New Roman" w:hAnsi="Times New Roman"/>
          <w:sz w:val="24"/>
          <w:szCs w:val="24"/>
        </w:rPr>
      </w:pPr>
      <w:bookmarkStart w:id="18" w:name="_Toc106285925"/>
      <w:bookmarkStart w:id="19" w:name="_Toc183440892"/>
      <w:bookmarkStart w:id="20" w:name="_Hlk143174051"/>
      <w:bookmarkEnd w:id="17"/>
      <w:r w:rsidRPr="00E13676">
        <w:rPr>
          <w:rFonts w:ascii="Times New Roman" w:hAnsi="Times New Roman"/>
          <w:sz w:val="24"/>
          <w:szCs w:val="24"/>
        </w:rPr>
        <w:t>9. Минимален и максимален размер на финансиране</w:t>
      </w:r>
      <w:r w:rsidR="00CB5159">
        <w:rPr>
          <w:rFonts w:ascii="Times New Roman" w:hAnsi="Times New Roman"/>
          <w:sz w:val="24"/>
          <w:szCs w:val="24"/>
        </w:rPr>
        <w:t>то</w:t>
      </w:r>
      <w:r w:rsidRPr="00E13676">
        <w:rPr>
          <w:rFonts w:ascii="Times New Roman" w:hAnsi="Times New Roman"/>
          <w:sz w:val="24"/>
          <w:szCs w:val="24"/>
        </w:rPr>
        <w:t xml:space="preserve"> за изпълнение на инвестиция:</w:t>
      </w:r>
      <w:bookmarkEnd w:id="18"/>
      <w:bookmarkEnd w:id="19"/>
    </w:p>
    <w:p w:rsidR="003F1496" w:rsidRPr="00E13676" w:rsidRDefault="003F1496" w:rsidP="007C388C">
      <w:pPr>
        <w:suppressAutoHyphens/>
        <w:spacing w:before="120" w:after="120" w:line="360" w:lineRule="auto"/>
        <w:jc w:val="both"/>
      </w:pPr>
      <w:r w:rsidRPr="00E13676">
        <w:lastRenderedPageBreak/>
        <w:t xml:space="preserve">Минималният и максималният размер на заявеното финансиране по всяко индивидуално предложение </w:t>
      </w:r>
      <w:r w:rsidR="00EA7B2E" w:rsidRPr="00E13676">
        <w:t xml:space="preserve">на даден кандидат </w:t>
      </w:r>
      <w:r w:rsidRPr="00E13676">
        <w:t xml:space="preserve">за </w:t>
      </w:r>
      <w:r w:rsidR="00A550E3" w:rsidRPr="00E13676">
        <w:t xml:space="preserve">проектно предложение за </w:t>
      </w:r>
      <w:r w:rsidRPr="00E13676">
        <w:t>изпълнение на инвестиция по процедурата са, както следва:</w:t>
      </w:r>
    </w:p>
    <w:p w:rsidR="003F1496" w:rsidRPr="00E13676" w:rsidRDefault="003F1496" w:rsidP="007C388C">
      <w:pPr>
        <w:suppressAutoHyphens/>
        <w:spacing w:before="120" w:after="120" w:line="360" w:lineRule="auto"/>
        <w:ind w:left="450" w:hanging="450"/>
        <w:jc w:val="both"/>
      </w:pPr>
      <w:r w:rsidRPr="00E13676">
        <w:t>•</w:t>
      </w:r>
      <w:r w:rsidRPr="00E13676">
        <w:tab/>
        <w:t xml:space="preserve">Минимален размер на финансиране за предложение – </w:t>
      </w:r>
      <w:r w:rsidR="00ED408F" w:rsidRPr="00E13676">
        <w:t>няма</w:t>
      </w:r>
      <w:r w:rsidRPr="00E13676">
        <w:t>;</w:t>
      </w:r>
    </w:p>
    <w:p w:rsidR="00511CAF" w:rsidRPr="009C2C3F" w:rsidRDefault="003F1496" w:rsidP="007C388C">
      <w:pPr>
        <w:suppressAutoHyphens/>
        <w:spacing w:before="120" w:after="120" w:line="360" w:lineRule="auto"/>
        <w:ind w:left="450" w:hanging="450"/>
        <w:jc w:val="both"/>
        <w:rPr>
          <w:lang w:val="en-US"/>
        </w:rPr>
      </w:pPr>
      <w:r w:rsidRPr="00E13676">
        <w:t>•</w:t>
      </w:r>
      <w:r w:rsidRPr="00E13676">
        <w:tab/>
        <w:t xml:space="preserve">Максимален размер на финансиране за </w:t>
      </w:r>
      <w:r w:rsidR="00422DEF" w:rsidRPr="00E13676">
        <w:t xml:space="preserve">едно </w:t>
      </w:r>
      <w:r w:rsidRPr="00E13676">
        <w:t xml:space="preserve">предложение </w:t>
      </w:r>
      <w:r w:rsidR="00422DEF" w:rsidRPr="00E13676">
        <w:t>за едно предприятие</w:t>
      </w:r>
      <w:r w:rsidR="00511CAF">
        <w:t xml:space="preserve"> за съответния район на планиране </w:t>
      </w:r>
      <w:r w:rsidR="00422DEF" w:rsidRPr="00E13676">
        <w:t xml:space="preserve"> </w:t>
      </w:r>
      <w:r w:rsidR="00BD2C30" w:rsidRPr="00E13676">
        <w:t xml:space="preserve">– </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10"/>
      </w:tblGrid>
      <w:tr w:rsidR="00511CAF" w:rsidTr="00511CAF">
        <w:tc>
          <w:tcPr>
            <w:tcW w:w="4530" w:type="dxa"/>
          </w:tcPr>
          <w:p w:rsidR="00511CAF" w:rsidRDefault="00511CAF" w:rsidP="007C388C">
            <w:pPr>
              <w:suppressAutoHyphens/>
              <w:spacing w:before="120" w:after="120" w:line="360" w:lineRule="auto"/>
              <w:jc w:val="both"/>
            </w:pPr>
            <w:r>
              <w:t xml:space="preserve">Северозападен </w:t>
            </w:r>
            <w:r w:rsidRPr="00846C1A">
              <w:t>район за планиране</w:t>
            </w:r>
          </w:p>
        </w:tc>
        <w:tc>
          <w:tcPr>
            <w:tcW w:w="4530" w:type="dxa"/>
          </w:tcPr>
          <w:p w:rsidR="00511CAF" w:rsidRPr="00984373" w:rsidRDefault="00C029A7" w:rsidP="007C388C">
            <w:pPr>
              <w:suppressAutoHyphens/>
              <w:spacing w:before="120" w:after="120" w:line="360" w:lineRule="auto"/>
              <w:ind w:left="450" w:hanging="450"/>
              <w:jc w:val="both"/>
            </w:pPr>
            <w:r>
              <w:t xml:space="preserve">70 742 868 </w:t>
            </w:r>
            <w:r w:rsidR="00511CAF">
              <w:t xml:space="preserve"> лв.</w:t>
            </w:r>
            <w:r w:rsidR="00D72BA3">
              <w:rPr>
                <w:lang w:val="en-US"/>
              </w:rPr>
              <w:t xml:space="preserve"> </w:t>
            </w:r>
            <w:r w:rsidR="00D72BA3">
              <w:t>без ДДС</w:t>
            </w:r>
          </w:p>
        </w:tc>
      </w:tr>
      <w:tr w:rsidR="00511CAF" w:rsidTr="00511CAF">
        <w:tc>
          <w:tcPr>
            <w:tcW w:w="4530" w:type="dxa"/>
          </w:tcPr>
          <w:p w:rsidR="00511CAF" w:rsidRDefault="00511CAF" w:rsidP="007C388C">
            <w:pPr>
              <w:suppressAutoHyphens/>
              <w:spacing w:before="120" w:after="120" w:line="360" w:lineRule="auto"/>
              <w:jc w:val="both"/>
            </w:pPr>
            <w:r w:rsidRPr="00846C1A">
              <w:t>Северен централен район за планиране</w:t>
            </w:r>
          </w:p>
        </w:tc>
        <w:tc>
          <w:tcPr>
            <w:tcW w:w="4530" w:type="dxa"/>
          </w:tcPr>
          <w:p w:rsidR="00511CAF" w:rsidRDefault="00C029A7" w:rsidP="007C388C">
            <w:pPr>
              <w:suppressAutoHyphens/>
              <w:spacing w:before="120" w:after="120" w:line="360" w:lineRule="auto"/>
              <w:ind w:left="450" w:hanging="450"/>
              <w:jc w:val="both"/>
            </w:pPr>
            <w:r>
              <w:t xml:space="preserve">50 905 559 </w:t>
            </w:r>
            <w:r w:rsidR="00511CAF">
              <w:t xml:space="preserve"> лв.</w:t>
            </w:r>
            <w:r w:rsidR="00D72BA3">
              <w:t xml:space="preserve"> без ДДС</w:t>
            </w:r>
          </w:p>
        </w:tc>
      </w:tr>
      <w:tr w:rsidR="00511CAF" w:rsidTr="00511CAF">
        <w:tc>
          <w:tcPr>
            <w:tcW w:w="4530" w:type="dxa"/>
          </w:tcPr>
          <w:p w:rsidR="00511CAF" w:rsidRDefault="00511CAF" w:rsidP="007C388C">
            <w:pPr>
              <w:suppressAutoHyphens/>
              <w:spacing w:before="120" w:after="120" w:line="360" w:lineRule="auto"/>
              <w:jc w:val="both"/>
            </w:pPr>
            <w:r>
              <w:t xml:space="preserve">Североизточен </w:t>
            </w:r>
            <w:r w:rsidRPr="00846C1A">
              <w:t>район за планиране</w:t>
            </w:r>
          </w:p>
        </w:tc>
        <w:tc>
          <w:tcPr>
            <w:tcW w:w="4530" w:type="dxa"/>
          </w:tcPr>
          <w:p w:rsidR="00511CAF" w:rsidRPr="00984373" w:rsidRDefault="00C029A7" w:rsidP="007C388C">
            <w:pPr>
              <w:suppressAutoHyphens/>
              <w:spacing w:before="120" w:after="120" w:line="360" w:lineRule="auto"/>
              <w:ind w:left="450" w:hanging="450"/>
              <w:jc w:val="both"/>
            </w:pPr>
            <w:r>
              <w:t xml:space="preserve">55 576 346 </w:t>
            </w:r>
            <w:r w:rsidR="00D72BA3">
              <w:rPr>
                <w:lang w:val="en-US"/>
              </w:rPr>
              <w:t xml:space="preserve"> </w:t>
            </w:r>
            <w:r w:rsidR="00511CAF">
              <w:t>лв.</w:t>
            </w:r>
            <w:r w:rsidR="00D72BA3">
              <w:rPr>
                <w:lang w:val="en-US"/>
              </w:rPr>
              <w:t xml:space="preserve"> </w:t>
            </w:r>
            <w:r w:rsidR="00D72BA3">
              <w:t>без ДДС</w:t>
            </w:r>
          </w:p>
        </w:tc>
      </w:tr>
      <w:tr w:rsidR="00511CAF" w:rsidTr="00511CAF">
        <w:tc>
          <w:tcPr>
            <w:tcW w:w="4530" w:type="dxa"/>
          </w:tcPr>
          <w:p w:rsidR="00511CAF" w:rsidRDefault="00511CAF" w:rsidP="007C388C">
            <w:pPr>
              <w:suppressAutoHyphens/>
              <w:spacing w:before="120" w:after="120" w:line="360" w:lineRule="auto"/>
              <w:jc w:val="both"/>
            </w:pPr>
            <w:r>
              <w:t>Югоизточен район за планиране</w:t>
            </w:r>
          </w:p>
        </w:tc>
        <w:tc>
          <w:tcPr>
            <w:tcW w:w="4530" w:type="dxa"/>
          </w:tcPr>
          <w:p w:rsidR="00511CAF" w:rsidRPr="00984373" w:rsidRDefault="00C029A7" w:rsidP="007C388C">
            <w:pPr>
              <w:suppressAutoHyphens/>
              <w:spacing w:before="120" w:after="120" w:line="360" w:lineRule="auto"/>
              <w:ind w:left="450" w:hanging="450"/>
              <w:jc w:val="both"/>
            </w:pPr>
            <w:r>
              <w:t xml:space="preserve">65 649 842 </w:t>
            </w:r>
            <w:r w:rsidR="00511CAF">
              <w:t xml:space="preserve"> лв.</w:t>
            </w:r>
            <w:r w:rsidR="00D72BA3">
              <w:rPr>
                <w:lang w:val="en-US"/>
              </w:rPr>
              <w:t xml:space="preserve"> </w:t>
            </w:r>
            <w:r w:rsidR="00D72BA3">
              <w:t>без ДДС</w:t>
            </w:r>
          </w:p>
        </w:tc>
      </w:tr>
      <w:tr w:rsidR="00511CAF" w:rsidTr="00511CAF">
        <w:tc>
          <w:tcPr>
            <w:tcW w:w="4530" w:type="dxa"/>
          </w:tcPr>
          <w:p w:rsidR="00511CAF" w:rsidRDefault="00511CAF" w:rsidP="007C388C">
            <w:pPr>
              <w:suppressAutoHyphens/>
              <w:spacing w:before="120" w:after="120" w:line="360" w:lineRule="auto"/>
              <w:jc w:val="both"/>
            </w:pPr>
            <w:r>
              <w:t>Южен централен район за планиране</w:t>
            </w:r>
          </w:p>
        </w:tc>
        <w:tc>
          <w:tcPr>
            <w:tcW w:w="4530" w:type="dxa"/>
          </w:tcPr>
          <w:p w:rsidR="00511CAF" w:rsidRPr="00984373" w:rsidRDefault="00C029A7" w:rsidP="007C388C">
            <w:pPr>
              <w:suppressAutoHyphens/>
              <w:spacing w:before="120" w:after="120" w:line="360" w:lineRule="auto"/>
              <w:ind w:left="450" w:hanging="450"/>
              <w:jc w:val="both"/>
            </w:pPr>
            <w:r>
              <w:t>73 085 </w:t>
            </w:r>
            <w:r w:rsidR="00301F97">
              <w:t xml:space="preserve">904,83  </w:t>
            </w:r>
            <w:r w:rsidR="00511CAF">
              <w:t>лв.</w:t>
            </w:r>
            <w:r w:rsidR="00D72BA3">
              <w:rPr>
                <w:lang w:val="en-US"/>
              </w:rPr>
              <w:t xml:space="preserve"> </w:t>
            </w:r>
            <w:r w:rsidR="00D72BA3">
              <w:t>без ДДС</w:t>
            </w:r>
          </w:p>
        </w:tc>
      </w:tr>
      <w:tr w:rsidR="00511CAF" w:rsidTr="00511CAF">
        <w:tc>
          <w:tcPr>
            <w:tcW w:w="4530" w:type="dxa"/>
          </w:tcPr>
          <w:p w:rsidR="00511CAF" w:rsidRDefault="00511CAF" w:rsidP="007C388C">
            <w:pPr>
              <w:suppressAutoHyphens/>
              <w:spacing w:before="120" w:after="120" w:line="360" w:lineRule="auto"/>
              <w:jc w:val="both"/>
            </w:pPr>
            <w:r>
              <w:t>Югозападен район за планиране</w:t>
            </w:r>
          </w:p>
        </w:tc>
        <w:tc>
          <w:tcPr>
            <w:tcW w:w="4530" w:type="dxa"/>
          </w:tcPr>
          <w:p w:rsidR="00511CAF" w:rsidRPr="00984373" w:rsidRDefault="00C029A7" w:rsidP="007C388C">
            <w:pPr>
              <w:suppressAutoHyphens/>
              <w:spacing w:before="120" w:after="120" w:line="360" w:lineRule="auto"/>
              <w:ind w:left="450" w:hanging="450"/>
              <w:jc w:val="both"/>
            </w:pPr>
            <w:r>
              <w:t>74 754 190</w:t>
            </w:r>
            <w:r w:rsidR="00511CAF">
              <w:t xml:space="preserve"> лв.</w:t>
            </w:r>
            <w:r w:rsidR="00D72BA3">
              <w:rPr>
                <w:lang w:val="en-US"/>
              </w:rPr>
              <w:t xml:space="preserve"> </w:t>
            </w:r>
            <w:r w:rsidR="00D72BA3">
              <w:t>без ДДС</w:t>
            </w:r>
          </w:p>
        </w:tc>
      </w:tr>
    </w:tbl>
    <w:p w:rsidR="006E46C8" w:rsidRPr="00E13676" w:rsidRDefault="00153665" w:rsidP="007C388C">
      <w:pPr>
        <w:suppressAutoHyphens/>
        <w:spacing w:before="120" w:after="120" w:line="360" w:lineRule="auto"/>
        <w:jc w:val="both"/>
      </w:pPr>
      <w:r w:rsidRPr="00E13676">
        <w:t>В</w:t>
      </w:r>
      <w:r w:rsidR="006E46C8" w:rsidRPr="00E13676">
        <w:t xml:space="preserve"> случай на </w:t>
      </w:r>
      <w:r w:rsidR="00A550E3" w:rsidRPr="00E13676">
        <w:t xml:space="preserve">натрупване на помощ, следва да се спазват правилата </w:t>
      </w:r>
      <w:r w:rsidRPr="00E13676">
        <w:t xml:space="preserve">и </w:t>
      </w:r>
      <w:r w:rsidR="00A550E3" w:rsidRPr="00E13676">
        <w:t xml:space="preserve">по раздел 8 по-горе. </w:t>
      </w:r>
    </w:p>
    <w:p w:rsidR="003F1496" w:rsidRPr="00E13676" w:rsidDel="00E95A14" w:rsidRDefault="003F1496" w:rsidP="007C388C">
      <w:pPr>
        <w:suppressAutoHyphens/>
        <w:spacing w:before="120" w:after="120" w:line="360" w:lineRule="auto"/>
        <w:jc w:val="both"/>
      </w:pPr>
      <w:r w:rsidRPr="00E13676" w:rsidDel="00E95A14">
        <w:t xml:space="preserve">Стойността на заявената безвъзмездна помощ се попълва в </w:t>
      </w:r>
      <w:r w:rsidR="00B2309C">
        <w:t>раздел</w:t>
      </w:r>
      <w:r w:rsidRPr="00E13676" w:rsidDel="00E95A14">
        <w:t xml:space="preserve"> </w:t>
      </w:r>
      <w:r w:rsidR="00B2309C">
        <w:t>„</w:t>
      </w:r>
      <w:r w:rsidRPr="00E13676" w:rsidDel="00E95A14">
        <w:t>Бюджет</w:t>
      </w:r>
      <w:r w:rsidR="00B2309C">
        <w:t>“</w:t>
      </w:r>
      <w:r w:rsidRPr="00E13676" w:rsidDel="00E95A14">
        <w:t xml:space="preserve"> от Формуляра за кандидатстване.</w:t>
      </w:r>
    </w:p>
    <w:p w:rsidR="003F1496" w:rsidRDefault="003F1496" w:rsidP="007C388C">
      <w:pPr>
        <w:suppressAutoHyphens/>
        <w:spacing w:before="120" w:after="120" w:line="360" w:lineRule="auto"/>
        <w:jc w:val="both"/>
      </w:pPr>
      <w:r w:rsidRPr="00E13676" w:rsidDel="00E95A14">
        <w:t>В случай че кандидатът е заявил финансиране, което надвишава максимално допустимия размер, Оценителната комисия ще извърши корекция в бюджета</w:t>
      </w:r>
      <w:r w:rsidR="009C6EAB" w:rsidRPr="00E13676">
        <w:t xml:space="preserve"> като служебно го намали до максимално допустимия размер съгласно чл. 16, ал. 7 на ПМС 114/2022</w:t>
      </w:r>
      <w:r w:rsidRPr="00E13676" w:rsidDel="00E95A14">
        <w:t>.</w:t>
      </w:r>
    </w:p>
    <w:p w:rsidR="007C388C" w:rsidRPr="00E13676" w:rsidRDefault="007C388C" w:rsidP="007C388C">
      <w:pPr>
        <w:suppressAutoHyphens/>
        <w:spacing w:before="120" w:after="120" w:line="360" w:lineRule="auto"/>
        <w:jc w:val="both"/>
      </w:pPr>
    </w:p>
    <w:p w:rsidR="003F1496" w:rsidRPr="00E13676" w:rsidRDefault="00CB5159" w:rsidP="007C388C">
      <w:pPr>
        <w:pStyle w:val="Heading2"/>
        <w:suppressAutoHyphens/>
        <w:spacing w:after="120" w:line="360" w:lineRule="auto"/>
        <w:rPr>
          <w:rFonts w:ascii="Times New Roman" w:hAnsi="Times New Roman"/>
          <w:sz w:val="24"/>
          <w:szCs w:val="24"/>
        </w:rPr>
      </w:pPr>
      <w:bookmarkStart w:id="21" w:name="_Toc106285926"/>
      <w:bookmarkStart w:id="22" w:name="_Toc183440893"/>
      <w:r>
        <w:rPr>
          <w:rFonts w:ascii="Times New Roman" w:hAnsi="Times New Roman"/>
          <w:sz w:val="24"/>
          <w:szCs w:val="24"/>
        </w:rPr>
        <w:t xml:space="preserve">10. Процент на </w:t>
      </w:r>
      <w:r w:rsidR="003F1496" w:rsidRPr="00E13676">
        <w:rPr>
          <w:rFonts w:ascii="Times New Roman" w:hAnsi="Times New Roman"/>
          <w:sz w:val="24"/>
          <w:szCs w:val="24"/>
        </w:rPr>
        <w:t>финансиране</w:t>
      </w:r>
      <w:bookmarkEnd w:id="21"/>
      <w:bookmarkEnd w:id="22"/>
    </w:p>
    <w:p w:rsidR="003F1496" w:rsidRDefault="003F1496" w:rsidP="007C388C">
      <w:pPr>
        <w:suppressAutoHyphens/>
        <w:spacing w:before="120" w:after="120" w:line="360" w:lineRule="auto"/>
        <w:jc w:val="both"/>
      </w:pPr>
      <w:r w:rsidRPr="00D70F21">
        <w:t xml:space="preserve">Максималният </w:t>
      </w:r>
      <w:r w:rsidR="00CB5159">
        <w:t>размер</w:t>
      </w:r>
      <w:r w:rsidRPr="00D70F21">
        <w:t xml:space="preserve"> на </w:t>
      </w:r>
      <w:r w:rsidR="00F732DF">
        <w:t xml:space="preserve">публичното </w:t>
      </w:r>
      <w:r w:rsidR="00CB5159">
        <w:t>ф</w:t>
      </w:r>
      <w:r w:rsidRPr="00D70F21">
        <w:t xml:space="preserve">инансиране </w:t>
      </w:r>
      <w:r w:rsidR="00907864">
        <w:t>не следва да надвишава посочените по райони</w:t>
      </w:r>
      <w:r w:rsidR="009F48E5">
        <w:t xml:space="preserve"> суми</w:t>
      </w:r>
      <w:r w:rsidR="00907864">
        <w:t xml:space="preserve"> в т. 9 по-горе</w:t>
      </w:r>
      <w:r w:rsidR="009258C5">
        <w:rPr>
          <w:lang w:val="en-US"/>
        </w:rPr>
        <w:t xml:space="preserve">. </w:t>
      </w:r>
      <w:r w:rsidR="009258C5">
        <w:t>В</w:t>
      </w:r>
      <w:r w:rsidR="00907864">
        <w:t xml:space="preserve">секи </w:t>
      </w:r>
      <w:r w:rsidR="00C7211C" w:rsidRPr="00D70F21">
        <w:t>к</w:t>
      </w:r>
      <w:r w:rsidR="00CB5159">
        <w:t>андидат</w:t>
      </w:r>
      <w:r w:rsidRPr="00D70F21">
        <w:t xml:space="preserve"> </w:t>
      </w:r>
      <w:r w:rsidR="00907864">
        <w:t xml:space="preserve">следва да представи проектно </w:t>
      </w:r>
      <w:r w:rsidR="00907864">
        <w:lastRenderedPageBreak/>
        <w:t>предложение</w:t>
      </w:r>
      <w:r w:rsidR="009258C5">
        <w:t>, в което е включен собствен принос в размер</w:t>
      </w:r>
      <w:r w:rsidR="00923F1B">
        <w:t xml:space="preserve"> на</w:t>
      </w:r>
      <w:r w:rsidR="009258C5">
        <w:t xml:space="preserve"> не по-малко от</w:t>
      </w:r>
      <w:r w:rsidR="00907864">
        <w:t xml:space="preserve"> 10</w:t>
      </w:r>
      <w:r w:rsidR="00B2309C">
        <w:t xml:space="preserve">% от стойността </w:t>
      </w:r>
      <w:r w:rsidR="00907864">
        <w:t>за даден район.</w:t>
      </w:r>
      <w:r w:rsidR="00CB5159">
        <w:t xml:space="preserve"> </w:t>
      </w:r>
    </w:p>
    <w:p w:rsidR="007C388C" w:rsidRPr="00E13676" w:rsidRDefault="007C388C" w:rsidP="007C388C">
      <w:pPr>
        <w:suppressAutoHyphens/>
        <w:spacing w:before="120" w:after="120" w:line="360" w:lineRule="auto"/>
        <w:jc w:val="both"/>
      </w:pPr>
    </w:p>
    <w:p w:rsidR="003F1496" w:rsidRPr="00E13676" w:rsidRDefault="003F1496" w:rsidP="007C388C">
      <w:pPr>
        <w:pStyle w:val="Heading2"/>
        <w:suppressAutoHyphens/>
        <w:spacing w:after="120" w:line="360" w:lineRule="auto"/>
        <w:rPr>
          <w:rFonts w:ascii="Times New Roman" w:hAnsi="Times New Roman"/>
          <w:sz w:val="24"/>
          <w:szCs w:val="24"/>
        </w:rPr>
      </w:pPr>
      <w:bookmarkStart w:id="23" w:name="_Toc106285927"/>
      <w:bookmarkStart w:id="24" w:name="_Toc183440894"/>
      <w:bookmarkEnd w:id="20"/>
      <w:r w:rsidRPr="00E13676">
        <w:rPr>
          <w:rFonts w:ascii="Times New Roman" w:hAnsi="Times New Roman"/>
          <w:sz w:val="24"/>
          <w:szCs w:val="24"/>
        </w:rPr>
        <w:t>11. Допустими кандидати:</w:t>
      </w:r>
      <w:bookmarkEnd w:id="23"/>
      <w:bookmarkEnd w:id="24"/>
      <w:r w:rsidRPr="00E13676">
        <w:rPr>
          <w:rFonts w:ascii="Times New Roman" w:hAnsi="Times New Roman"/>
          <w:sz w:val="24"/>
          <w:szCs w:val="24"/>
        </w:rPr>
        <w:t xml:space="preserve"> </w:t>
      </w:r>
    </w:p>
    <w:p w:rsidR="003F1496" w:rsidRPr="00E13676" w:rsidRDefault="003F1496" w:rsidP="007C388C">
      <w:pPr>
        <w:pStyle w:val="Heading3"/>
        <w:pBdr>
          <w:top w:val="single" w:sz="6" w:space="6" w:color="538135"/>
        </w:pBdr>
        <w:suppressAutoHyphens/>
        <w:spacing w:before="120" w:after="120" w:line="360" w:lineRule="auto"/>
        <w:rPr>
          <w:rFonts w:ascii="Times New Roman" w:hAnsi="Times New Roman"/>
          <w:sz w:val="24"/>
          <w:szCs w:val="24"/>
        </w:rPr>
      </w:pPr>
      <w:bookmarkStart w:id="25" w:name="_Toc106285928"/>
      <w:bookmarkStart w:id="26" w:name="_Toc183440895"/>
      <w:r w:rsidRPr="00E13676">
        <w:rPr>
          <w:rFonts w:ascii="Times New Roman" w:hAnsi="Times New Roman"/>
          <w:sz w:val="24"/>
          <w:szCs w:val="24"/>
        </w:rPr>
        <w:t>11.1 Критерии за допустимост на кандидатите</w:t>
      </w:r>
      <w:bookmarkEnd w:id="25"/>
      <w:bookmarkEnd w:id="26"/>
      <w:r w:rsidRPr="00E13676">
        <w:rPr>
          <w:rFonts w:ascii="Times New Roman" w:hAnsi="Times New Roman"/>
          <w:sz w:val="24"/>
          <w:szCs w:val="24"/>
        </w:rPr>
        <w:t xml:space="preserve"> </w:t>
      </w:r>
    </w:p>
    <w:p w:rsidR="00170995" w:rsidRPr="000F21A9" w:rsidRDefault="00170995" w:rsidP="007C388C">
      <w:pPr>
        <w:suppressAutoHyphens/>
        <w:spacing w:before="120" w:after="120" w:line="360" w:lineRule="auto"/>
        <w:jc w:val="both"/>
        <w:rPr>
          <w:color w:val="000000" w:themeColor="text1"/>
        </w:rPr>
      </w:pPr>
      <w:bookmarkStart w:id="27" w:name="_Toc106285929"/>
      <w:r w:rsidRPr="000F21A9">
        <w:rPr>
          <w:color w:val="000000" w:themeColor="text1"/>
        </w:rPr>
        <w:t>Установяването на строги и прозрачни критерии за допустимост за потенциалните бенефицие</w:t>
      </w:r>
      <w:r w:rsidR="004F7356">
        <w:rPr>
          <w:color w:val="000000" w:themeColor="text1"/>
        </w:rPr>
        <w:t>ри</w:t>
      </w:r>
      <w:r w:rsidRPr="000F21A9">
        <w:rPr>
          <w:color w:val="000000" w:themeColor="text1"/>
        </w:rPr>
        <w:t xml:space="preserve"> може да гарантира, че се избират само предприятия, които са в състояние да изпъл</w:t>
      </w:r>
      <w:r>
        <w:rPr>
          <w:color w:val="000000" w:themeColor="text1"/>
        </w:rPr>
        <w:t>нят дългосрочните цели на проекта</w:t>
      </w:r>
      <w:r w:rsidRPr="000F21A9">
        <w:rPr>
          <w:color w:val="000000" w:themeColor="text1"/>
        </w:rPr>
        <w:t xml:space="preserve">. </w:t>
      </w:r>
    </w:p>
    <w:p w:rsidR="00170995" w:rsidRDefault="00170995" w:rsidP="007C388C">
      <w:pPr>
        <w:suppressAutoHyphens/>
        <w:spacing w:before="120" w:after="120" w:line="360" w:lineRule="auto"/>
        <w:jc w:val="both"/>
        <w:rPr>
          <w:color w:val="000000" w:themeColor="text1"/>
        </w:rPr>
      </w:pPr>
      <w:r w:rsidRPr="000F21A9">
        <w:rPr>
          <w:color w:val="000000" w:themeColor="text1"/>
        </w:rPr>
        <w:t>Това също така не позволява на дружества, които преди това са получили несъвместима помощ или са финансово нестабилни, да получат неправомерно предимство.</w:t>
      </w:r>
    </w:p>
    <w:p w:rsidR="00170995" w:rsidRPr="00690625" w:rsidRDefault="00170995" w:rsidP="007C388C">
      <w:pPr>
        <w:suppressAutoHyphens/>
        <w:spacing w:before="120" w:after="120" w:line="360" w:lineRule="auto"/>
        <w:jc w:val="both"/>
        <w:rPr>
          <w:color w:val="000000" w:themeColor="text1"/>
        </w:rPr>
      </w:pPr>
      <w:r w:rsidRPr="00690625">
        <w:rPr>
          <w:color w:val="000000" w:themeColor="text1"/>
        </w:rPr>
        <w:t>Участник в процедурата може да бъде всяко българско или чуждестранно физическо или юридическо лице или техни сдружения, както и всяко друго лице, което има право да</w:t>
      </w:r>
      <w:r w:rsidR="00DA321C">
        <w:rPr>
          <w:color w:val="000000" w:themeColor="text1"/>
        </w:rPr>
        <w:t xml:space="preserve"> възлага</w:t>
      </w:r>
      <w:r w:rsidRPr="00690625">
        <w:rPr>
          <w:color w:val="000000" w:themeColor="text1"/>
        </w:rPr>
        <w:t xml:space="preserve"> извършва</w:t>
      </w:r>
      <w:r w:rsidR="00DA321C">
        <w:rPr>
          <w:color w:val="000000" w:themeColor="text1"/>
        </w:rPr>
        <w:t>нето на</w:t>
      </w:r>
      <w:r w:rsidRPr="00690625">
        <w:rPr>
          <w:color w:val="000000" w:themeColor="text1"/>
        </w:rPr>
        <w:t xml:space="preserve"> строителство, доставки и услуги съгласно законодателството на държавата, в която е установено, </w:t>
      </w:r>
      <w:r w:rsidRPr="00E26AF9">
        <w:rPr>
          <w:color w:val="000000" w:themeColor="text1"/>
        </w:rPr>
        <w:t xml:space="preserve">и </w:t>
      </w:r>
      <w:r w:rsidR="009153FE" w:rsidRPr="00E26AF9">
        <w:rPr>
          <w:color w:val="000000" w:themeColor="text1"/>
        </w:rPr>
        <w:t>има разрешение за използване на спектър в честотни ленти 2,6 GHz, 3,6 GHz, 700 MHz, 800 MHz, 900 MHz или има споразумение с партньор, който има такова разрешение.</w:t>
      </w:r>
      <w:r w:rsidRPr="00690625">
        <w:rPr>
          <w:color w:val="000000" w:themeColor="text1"/>
        </w:rPr>
        <w:t xml:space="preserve"> Клон на чуждестранно лице може да бъде независим участник в процедурата, ако може самостоятелно да подаде оферта и да сключи договор съгласно правото на държавата, в която е установен. </w:t>
      </w:r>
    </w:p>
    <w:p w:rsidR="003E6CA1" w:rsidRPr="00551F0C" w:rsidRDefault="003E6CA1" w:rsidP="003E6CA1">
      <w:pPr>
        <w:suppressAutoHyphens/>
        <w:spacing w:before="120" w:after="120" w:line="360" w:lineRule="auto"/>
        <w:jc w:val="both"/>
        <w:rPr>
          <w:color w:val="000000" w:themeColor="text1"/>
        </w:rPr>
      </w:pPr>
      <w:r>
        <w:rPr>
          <w:color w:val="000000" w:themeColor="text1"/>
        </w:rPr>
        <w:t>И</w:t>
      </w:r>
      <w:r w:rsidRPr="00690625">
        <w:rPr>
          <w:color w:val="000000" w:themeColor="text1"/>
        </w:rPr>
        <w:t xml:space="preserve">зисквания за </w:t>
      </w:r>
      <w:r>
        <w:rPr>
          <w:color w:val="000000" w:themeColor="text1"/>
        </w:rPr>
        <w:t>финансовите</w:t>
      </w:r>
      <w:r w:rsidRPr="00690625">
        <w:rPr>
          <w:color w:val="000000" w:themeColor="text1"/>
        </w:rPr>
        <w:t xml:space="preserve"> възможности на участниците</w:t>
      </w:r>
      <w:r>
        <w:rPr>
          <w:color w:val="000000" w:themeColor="text1"/>
        </w:rPr>
        <w:t>:</w:t>
      </w:r>
    </w:p>
    <w:p w:rsidR="003E6CA1" w:rsidRPr="003E6CA1" w:rsidRDefault="003E6CA1" w:rsidP="003E6CA1">
      <w:pPr>
        <w:suppressAutoHyphens/>
        <w:spacing w:before="120" w:after="120" w:line="360" w:lineRule="auto"/>
        <w:jc w:val="both"/>
        <w:rPr>
          <w:color w:val="000000" w:themeColor="text1"/>
        </w:rPr>
      </w:pPr>
      <w:r w:rsidRPr="003E6CA1">
        <w:rPr>
          <w:color w:val="000000" w:themeColor="text1"/>
        </w:rPr>
        <w:t xml:space="preserve">Кандидатът, самостоятелно или чрез своя(ите) акционер(и)/съдружник(и), </w:t>
      </w:r>
      <w:r>
        <w:rPr>
          <w:color w:val="000000" w:themeColor="text1"/>
        </w:rPr>
        <w:t xml:space="preserve">следва да </w:t>
      </w:r>
      <w:r w:rsidRPr="003E6CA1">
        <w:rPr>
          <w:color w:val="000000" w:themeColor="text1"/>
        </w:rPr>
        <w:t xml:space="preserve">има собствен капитал от </w:t>
      </w:r>
      <w:r>
        <w:rPr>
          <w:color w:val="000000" w:themeColor="text1"/>
        </w:rPr>
        <w:t xml:space="preserve">минимум </w:t>
      </w:r>
      <w:r w:rsidRPr="003E6CA1">
        <w:rPr>
          <w:color w:val="000000" w:themeColor="text1"/>
        </w:rPr>
        <w:t>6 млн. лв.</w:t>
      </w:r>
      <w:r>
        <w:rPr>
          <w:color w:val="000000" w:themeColor="text1"/>
        </w:rPr>
        <w:t xml:space="preserve"> </w:t>
      </w:r>
      <w:r w:rsidRPr="003E6CA1">
        <w:rPr>
          <w:color w:val="000000" w:themeColor="text1"/>
        </w:rPr>
        <w:t xml:space="preserve">Изискването за собствен капитал може да бъде изпълнено </w:t>
      </w:r>
      <w:r w:rsidR="009258C5">
        <w:rPr>
          <w:color w:val="000000" w:themeColor="text1"/>
        </w:rPr>
        <w:t>само чрез директните акционери/съдружници</w:t>
      </w:r>
      <w:r w:rsidRPr="003E6CA1">
        <w:rPr>
          <w:color w:val="000000" w:themeColor="text1"/>
        </w:rPr>
        <w:t xml:space="preserve"> на кандидата. Други лица, свързани с кандидата, не се вземат предвид при проверката на съответствието с изискването. </w:t>
      </w:r>
    </w:p>
    <w:p w:rsidR="003E6CA1" w:rsidRPr="003E6CA1" w:rsidRDefault="003E6CA1" w:rsidP="003E6CA1">
      <w:pPr>
        <w:suppressAutoHyphens/>
        <w:spacing w:before="120" w:after="120" w:line="360" w:lineRule="auto"/>
        <w:jc w:val="both"/>
        <w:rPr>
          <w:color w:val="000000" w:themeColor="text1"/>
        </w:rPr>
      </w:pPr>
      <w:r w:rsidRPr="003E6CA1">
        <w:rPr>
          <w:color w:val="000000" w:themeColor="text1"/>
        </w:rPr>
        <w:lastRenderedPageBreak/>
        <w:t>Изискването за собствен капитал не може да бъде изпълнено чрез физическо лице – съдружник или акционер, което не изготвя финансови отчети в съответствие със Закона за счетоводството и приложимите счетоводни стандарти.</w:t>
      </w:r>
    </w:p>
    <w:p w:rsidR="003E6CA1" w:rsidRPr="003E6CA1" w:rsidRDefault="003E6CA1" w:rsidP="003E6CA1">
      <w:pPr>
        <w:suppressAutoHyphens/>
        <w:spacing w:before="120" w:after="120" w:line="360" w:lineRule="auto"/>
        <w:jc w:val="both"/>
        <w:rPr>
          <w:color w:val="000000" w:themeColor="text1"/>
        </w:rPr>
      </w:pPr>
      <w:r w:rsidRPr="003E6CA1">
        <w:rPr>
          <w:color w:val="000000" w:themeColor="text1"/>
        </w:rPr>
        <w:t xml:space="preserve">В случай на множество акционери или съдружници стойността на капитала ще бъде изчислена на базата на среднопретеглена стойност с позоваване на дяловото участие, притежавано от съответните акционери или съдружници в кандидата (напр. сумата от капитала × процент от собствения капитал за всеки акционер или съдружник). </w:t>
      </w:r>
    </w:p>
    <w:p w:rsidR="003E6CA1" w:rsidRPr="003E6CA1" w:rsidRDefault="003E6CA1" w:rsidP="003E6CA1">
      <w:pPr>
        <w:suppressAutoHyphens/>
        <w:spacing w:before="120" w:after="120" w:line="360" w:lineRule="auto"/>
        <w:jc w:val="both"/>
        <w:rPr>
          <w:color w:val="000000" w:themeColor="text1"/>
        </w:rPr>
      </w:pPr>
      <w:r w:rsidRPr="003E6CA1">
        <w:rPr>
          <w:color w:val="000000" w:themeColor="text1"/>
        </w:rPr>
        <w:t>Ако даден акционер или съдружник е инвестиционен фонд или е мажоритарно притежаван или контролиран от него и в резултат на това не може да изпълни изискването за капитала, тогава капиталът за такъв фонд се изчислява като 20% от неотменимите ангажименти, които този инвестиционен фонд има от един или повече инвеститори, и този акционер трябва да представи писмо от главния финансов директор или еквивалентно лице на фонда, потвърждаващо наличието на обща сума в неангажирани средства, равна на дела от собствения капитал в проекта, който се разпределя твърдо за проекта в случай на успешно предложение.</w:t>
      </w:r>
      <w:r w:rsidRPr="003E6CA1">
        <w:rPr>
          <w:color w:val="000000" w:themeColor="text1"/>
        </w:rPr>
        <w:tab/>
      </w:r>
    </w:p>
    <w:p w:rsidR="003E6CA1" w:rsidRDefault="003E6CA1" w:rsidP="007C388C">
      <w:pPr>
        <w:suppressAutoHyphens/>
        <w:spacing w:before="120" w:after="120" w:line="360" w:lineRule="auto"/>
        <w:jc w:val="both"/>
        <w:rPr>
          <w:color w:val="000000" w:themeColor="text1"/>
        </w:rPr>
      </w:pPr>
      <w:r w:rsidRPr="003E6CA1">
        <w:rPr>
          <w:color w:val="000000" w:themeColor="text1"/>
        </w:rPr>
        <w:t>При новоучреден кандидат или такъв, който желае да се приведе в съответствие след приключване на финансовата година, съответствието може да се докаже и чрез одитиран междинен финансов отчет или междин</w:t>
      </w:r>
      <w:r w:rsidR="00ED1478">
        <w:rPr>
          <w:color w:val="000000" w:themeColor="text1"/>
        </w:rPr>
        <w:t>ен консолидиран финансов отчет.</w:t>
      </w:r>
    </w:p>
    <w:p w:rsidR="00170995" w:rsidRPr="00551F0C" w:rsidRDefault="00170995" w:rsidP="007C388C">
      <w:pPr>
        <w:suppressAutoHyphens/>
        <w:spacing w:before="120" w:after="120" w:line="360" w:lineRule="auto"/>
        <w:jc w:val="both"/>
        <w:rPr>
          <w:color w:val="000000" w:themeColor="text1"/>
        </w:rPr>
      </w:pPr>
      <w:r>
        <w:rPr>
          <w:color w:val="000000" w:themeColor="text1"/>
        </w:rPr>
        <w:t>И</w:t>
      </w:r>
      <w:r w:rsidRPr="00690625">
        <w:rPr>
          <w:color w:val="000000" w:themeColor="text1"/>
        </w:rPr>
        <w:t>зисквания за техническите възможности на участниците</w:t>
      </w:r>
      <w:r>
        <w:rPr>
          <w:color w:val="000000" w:themeColor="text1"/>
        </w:rPr>
        <w:t>:</w:t>
      </w:r>
    </w:p>
    <w:p w:rsidR="00170995" w:rsidRDefault="00170995" w:rsidP="007C388C">
      <w:pPr>
        <w:suppressAutoHyphens/>
        <w:spacing w:before="120" w:after="120" w:line="360" w:lineRule="auto"/>
        <w:jc w:val="both"/>
        <w:rPr>
          <w:color w:val="000000" w:themeColor="text1"/>
        </w:rPr>
      </w:pPr>
      <w:r w:rsidRPr="00690625">
        <w:rPr>
          <w:color w:val="000000" w:themeColor="text1"/>
        </w:rPr>
        <w:t xml:space="preserve">За да може да кандидатства, участникът трябва да е извършвал дейности с предмет и обем, идентични или сходни с тези на процедурата, за период от последните три години от датата на подаване на офертата. Като минимално </w:t>
      </w:r>
      <w:r w:rsidR="00531407">
        <w:rPr>
          <w:color w:val="000000" w:themeColor="text1"/>
        </w:rPr>
        <w:t>изискване</w:t>
      </w:r>
      <w:r w:rsidRPr="00690625">
        <w:rPr>
          <w:color w:val="000000" w:themeColor="text1"/>
        </w:rPr>
        <w:t xml:space="preserve"> може да се приеме, че участниците са извършили дейности, свързани с поддръжката и/или изграждането на електронна съобщителна инфраструктура с дължина най-малко </w:t>
      </w:r>
      <w:r w:rsidR="004C32FF">
        <w:rPr>
          <w:color w:val="000000" w:themeColor="text1"/>
        </w:rPr>
        <w:t>3</w:t>
      </w:r>
      <w:r w:rsidR="004C32FF" w:rsidRPr="00690625">
        <w:rPr>
          <w:color w:val="000000" w:themeColor="text1"/>
        </w:rPr>
        <w:t xml:space="preserve">50 </w:t>
      </w:r>
      <w:r w:rsidRPr="00690625">
        <w:rPr>
          <w:color w:val="000000" w:themeColor="text1"/>
        </w:rPr>
        <w:t xml:space="preserve">км и/или предоставянето на </w:t>
      </w:r>
      <w:r w:rsidR="00AF4925">
        <w:rPr>
          <w:color w:val="000000" w:themeColor="text1"/>
        </w:rPr>
        <w:t>електронни съобщителни</w:t>
      </w:r>
      <w:r w:rsidRPr="00690625">
        <w:rPr>
          <w:color w:val="000000" w:themeColor="text1"/>
        </w:rPr>
        <w:t xml:space="preserve"> услуги. Изискването се обосновава със съответните документи (Списък на услугите, които са идентични или подобни на предмета на процедурата, като се посочват стойностите, датите и получателите, заедно с </w:t>
      </w:r>
      <w:r w:rsidRPr="00690625">
        <w:rPr>
          <w:color w:val="000000" w:themeColor="text1"/>
        </w:rPr>
        <w:lastRenderedPageBreak/>
        <w:t xml:space="preserve">доказателство за извършената услуга), които спечелилият </w:t>
      </w:r>
      <w:r>
        <w:rPr>
          <w:color w:val="000000" w:themeColor="text1"/>
        </w:rPr>
        <w:t>участник</w:t>
      </w:r>
      <w:r w:rsidRPr="00690625">
        <w:rPr>
          <w:color w:val="000000" w:themeColor="text1"/>
        </w:rPr>
        <w:t xml:space="preserve"> трябва да представи преди сключването на договора.</w:t>
      </w:r>
    </w:p>
    <w:p w:rsidR="00E8557E" w:rsidRDefault="00E8557E" w:rsidP="007C388C">
      <w:pPr>
        <w:suppressAutoHyphens/>
        <w:spacing w:before="120" w:after="120" w:line="360" w:lineRule="auto"/>
        <w:jc w:val="both"/>
        <w:rPr>
          <w:color w:val="000000" w:themeColor="text1"/>
        </w:rPr>
      </w:pPr>
      <w:r>
        <w:rPr>
          <w:color w:val="000000" w:themeColor="text1"/>
        </w:rPr>
        <w:t>Като част от процеса на кандидатстване</w:t>
      </w:r>
      <w:r w:rsidR="00063D20">
        <w:rPr>
          <w:color w:val="000000" w:themeColor="text1"/>
        </w:rPr>
        <w:t>,</w:t>
      </w:r>
      <w:r>
        <w:rPr>
          <w:color w:val="000000" w:themeColor="text1"/>
        </w:rPr>
        <w:t xml:space="preserve"> кандидатите са длъжни да качат информация за цялата си налична инфраструктура в Единната информационна точка с оглед спазване на разпоредбите на ЗЕСМФИ.</w:t>
      </w:r>
    </w:p>
    <w:p w:rsidR="003760EA" w:rsidRDefault="00E54361" w:rsidP="007C388C">
      <w:pPr>
        <w:suppressAutoHyphens/>
        <w:spacing w:before="120" w:after="120" w:line="360" w:lineRule="auto"/>
        <w:jc w:val="both"/>
        <w:rPr>
          <w:color w:val="000000" w:themeColor="text1"/>
          <w:lang w:val="en-US"/>
        </w:rPr>
      </w:pPr>
      <w:r>
        <w:rPr>
          <w:color w:val="000000" w:themeColor="text1"/>
        </w:rPr>
        <w:t>В процеса на кандидатстване всеки кандидат следва да осигури на всички останали кандидати съответната информация и физически достъп до неговата инфраструктура с цел ефективно проектиране</w:t>
      </w:r>
      <w:r w:rsidR="009E2804">
        <w:rPr>
          <w:color w:val="000000" w:themeColor="text1"/>
        </w:rPr>
        <w:t>. Чрез СНД всеки кандидат може да отпрати запитване за съдействие с други оператори, притежаващи инфраструктура в даден район съгласно информацията от ЕИТ.</w:t>
      </w:r>
      <w:r w:rsidR="003760EA">
        <w:rPr>
          <w:color w:val="000000" w:themeColor="text1"/>
          <w:lang w:val="en-US"/>
        </w:rPr>
        <w:t xml:space="preserve"> </w:t>
      </w:r>
    </w:p>
    <w:p w:rsidR="00170995" w:rsidRPr="00690625" w:rsidRDefault="00170995" w:rsidP="007C388C">
      <w:pPr>
        <w:suppressAutoHyphens/>
        <w:spacing w:before="120" w:after="120" w:line="360" w:lineRule="auto"/>
        <w:jc w:val="both"/>
        <w:rPr>
          <w:color w:val="000000" w:themeColor="text1"/>
        </w:rPr>
      </w:pPr>
      <w:r w:rsidRPr="00690625">
        <w:rPr>
          <w:color w:val="000000" w:themeColor="text1"/>
        </w:rPr>
        <w:t xml:space="preserve">Като част от </w:t>
      </w:r>
      <w:r w:rsidR="006C2619">
        <w:rPr>
          <w:color w:val="000000" w:themeColor="text1"/>
        </w:rPr>
        <w:t>проектното предложение</w:t>
      </w:r>
      <w:r w:rsidRPr="00690625">
        <w:rPr>
          <w:color w:val="000000" w:themeColor="text1"/>
        </w:rPr>
        <w:t xml:space="preserve"> кандидатите трябва да представят цялостен бизнес план за проекта. Този бизнес план е от решаващо значение </w:t>
      </w:r>
      <w:r w:rsidR="00E31A99">
        <w:rPr>
          <w:color w:val="000000" w:themeColor="text1"/>
        </w:rPr>
        <w:t>при годишната проверка за</w:t>
      </w:r>
      <w:r w:rsidRPr="00690625">
        <w:rPr>
          <w:color w:val="000000" w:themeColor="text1"/>
        </w:rPr>
        <w:t xml:space="preserve"> свръхкомпенсацията и трябва да включва следните елементи:</w:t>
      </w:r>
    </w:p>
    <w:p w:rsidR="00170995" w:rsidRPr="00690625" w:rsidRDefault="00170995" w:rsidP="007C388C">
      <w:pPr>
        <w:suppressAutoHyphens/>
        <w:spacing w:before="120" w:after="120" w:line="360" w:lineRule="auto"/>
        <w:ind w:firstLine="426"/>
        <w:jc w:val="both"/>
        <w:rPr>
          <w:color w:val="000000" w:themeColor="text1"/>
        </w:rPr>
      </w:pPr>
      <w:r w:rsidRPr="00690625">
        <w:rPr>
          <w:color w:val="000000" w:themeColor="text1"/>
        </w:rPr>
        <w:t>•</w:t>
      </w:r>
      <w:r w:rsidRPr="00690625">
        <w:rPr>
          <w:color w:val="000000" w:themeColor="text1"/>
        </w:rPr>
        <w:tab/>
        <w:t xml:space="preserve">Планът следва да описва подробно всички оперативни разходи и инвестиции, свързани с изпълнението, разгръщането и поддръжката на </w:t>
      </w:r>
      <w:r w:rsidR="00531407">
        <w:rPr>
          <w:color w:val="000000" w:themeColor="text1"/>
        </w:rPr>
        <w:t>мрежата</w:t>
      </w:r>
      <w:r w:rsidRPr="00690625">
        <w:rPr>
          <w:color w:val="000000" w:themeColor="text1"/>
        </w:rPr>
        <w:t>.</w:t>
      </w:r>
    </w:p>
    <w:p w:rsidR="00170995" w:rsidRPr="00690625" w:rsidRDefault="00170995" w:rsidP="007C388C">
      <w:pPr>
        <w:suppressAutoHyphens/>
        <w:spacing w:before="120" w:after="120" w:line="360" w:lineRule="auto"/>
        <w:ind w:firstLine="426"/>
        <w:jc w:val="both"/>
        <w:rPr>
          <w:color w:val="000000" w:themeColor="text1"/>
        </w:rPr>
      </w:pPr>
      <w:r w:rsidRPr="00690625">
        <w:rPr>
          <w:color w:val="000000" w:themeColor="text1"/>
        </w:rPr>
        <w:t>•</w:t>
      </w:r>
      <w:r w:rsidRPr="00690625">
        <w:rPr>
          <w:color w:val="000000" w:themeColor="text1"/>
        </w:rPr>
        <w:tab/>
      </w:r>
      <w:r>
        <w:rPr>
          <w:color w:val="000000" w:themeColor="text1"/>
        </w:rPr>
        <w:t>Следва</w:t>
      </w:r>
      <w:r w:rsidRPr="00690625">
        <w:rPr>
          <w:color w:val="000000" w:themeColor="text1"/>
        </w:rPr>
        <w:t xml:space="preserve"> да очерта</w:t>
      </w:r>
      <w:r>
        <w:rPr>
          <w:color w:val="000000" w:themeColor="text1"/>
        </w:rPr>
        <w:t>ва</w:t>
      </w:r>
      <w:r w:rsidRPr="00690625">
        <w:rPr>
          <w:color w:val="000000" w:themeColor="text1"/>
        </w:rPr>
        <w:t xml:space="preserve"> очакваните ползи през целия жизнен цикъл на с</w:t>
      </w:r>
      <w:r w:rsidR="0036503F">
        <w:rPr>
          <w:color w:val="000000" w:themeColor="text1"/>
        </w:rPr>
        <w:t>убсидираната инфраструктура, кой</w:t>
      </w:r>
      <w:r w:rsidRPr="00690625">
        <w:rPr>
          <w:color w:val="000000" w:themeColor="text1"/>
        </w:rPr>
        <w:t>то се определя на 20 години. Тази дългосрочна перспектива гарантира, че проектът остава жизнеспособен и устойчив.</w:t>
      </w:r>
    </w:p>
    <w:p w:rsidR="00170995" w:rsidRPr="00690625" w:rsidRDefault="00170995" w:rsidP="007C388C">
      <w:pPr>
        <w:suppressAutoHyphens/>
        <w:spacing w:before="120" w:after="120" w:line="360" w:lineRule="auto"/>
        <w:ind w:firstLine="426"/>
        <w:jc w:val="both"/>
        <w:rPr>
          <w:color w:val="000000" w:themeColor="text1"/>
        </w:rPr>
      </w:pPr>
      <w:r w:rsidRPr="00690625">
        <w:rPr>
          <w:color w:val="000000" w:themeColor="text1"/>
        </w:rPr>
        <w:t>•</w:t>
      </w:r>
      <w:r w:rsidRPr="00690625">
        <w:rPr>
          <w:color w:val="000000" w:themeColor="text1"/>
        </w:rPr>
        <w:tab/>
        <w:t xml:space="preserve">В плана следва да се посочи </w:t>
      </w:r>
      <w:r w:rsidR="0036503F">
        <w:rPr>
          <w:color w:val="000000" w:themeColor="text1"/>
        </w:rPr>
        <w:t>размерът на търсеното финансиране</w:t>
      </w:r>
      <w:r w:rsidRPr="00690625">
        <w:rPr>
          <w:color w:val="000000" w:themeColor="text1"/>
        </w:rPr>
        <w:t xml:space="preserve"> за покриване на планирания недостиг. Това гарантира, че </w:t>
      </w:r>
      <w:r w:rsidR="0036503F">
        <w:rPr>
          <w:color w:val="000000" w:themeColor="text1"/>
        </w:rPr>
        <w:t>финансирането е съобразено</w:t>
      </w:r>
      <w:r w:rsidRPr="00690625">
        <w:rPr>
          <w:color w:val="000000" w:themeColor="text1"/>
        </w:rPr>
        <w:t xml:space="preserve"> по подходящ начин с нуждите на проекта.</w:t>
      </w:r>
    </w:p>
    <w:p w:rsidR="00170995" w:rsidRPr="00690625" w:rsidRDefault="00170995" w:rsidP="007C388C">
      <w:pPr>
        <w:suppressAutoHyphens/>
        <w:spacing w:before="120" w:after="120" w:line="360" w:lineRule="auto"/>
        <w:jc w:val="both"/>
        <w:rPr>
          <w:color w:val="000000" w:themeColor="text1"/>
        </w:rPr>
      </w:pPr>
      <w:r w:rsidRPr="00690625">
        <w:rPr>
          <w:color w:val="000000" w:themeColor="text1"/>
        </w:rPr>
        <w:t>Тъй като мярката се финансира със средства от Механизма за възстан</w:t>
      </w:r>
      <w:r w:rsidR="00E31A99">
        <w:rPr>
          <w:color w:val="000000" w:themeColor="text1"/>
        </w:rPr>
        <w:t>овяване и устойчивост, бенефицие</w:t>
      </w:r>
      <w:r w:rsidR="004F7356">
        <w:rPr>
          <w:color w:val="000000" w:themeColor="text1"/>
        </w:rPr>
        <w:t>рите</w:t>
      </w:r>
      <w:r w:rsidRPr="00690625">
        <w:rPr>
          <w:color w:val="000000" w:themeColor="text1"/>
        </w:rPr>
        <w:t xml:space="preserve"> на средствата, както и техните подизпълнители, когато имат такива, ще трябва да спазват приложимите правила на ЕС и националните правила, включително задълженията, произтичащи от </w:t>
      </w:r>
      <w:r w:rsidR="001A1B45" w:rsidRPr="001A1B45">
        <w:rPr>
          <w:color w:val="000000" w:themeColor="text1"/>
        </w:rPr>
        <w:t xml:space="preserve">Регламент (ЕС) 2021/241 на Европейския парламент и </w:t>
      </w:r>
      <w:r w:rsidR="001A1B45">
        <w:rPr>
          <w:color w:val="000000" w:themeColor="text1"/>
        </w:rPr>
        <w:t>на</w:t>
      </w:r>
      <w:r w:rsidR="001A1B45" w:rsidRPr="001A1B45">
        <w:rPr>
          <w:color w:val="000000" w:themeColor="text1"/>
        </w:rPr>
        <w:t xml:space="preserve"> Съвета</w:t>
      </w:r>
      <w:r w:rsidR="001A1B45">
        <w:rPr>
          <w:color w:val="000000" w:themeColor="text1"/>
        </w:rPr>
        <w:t xml:space="preserve"> </w:t>
      </w:r>
      <w:r w:rsidR="001A1B45" w:rsidRPr="001A1B45">
        <w:rPr>
          <w:color w:val="000000" w:themeColor="text1"/>
        </w:rPr>
        <w:t>от 12 февруари 2021 г</w:t>
      </w:r>
      <w:r w:rsidR="0031153E">
        <w:rPr>
          <w:color w:val="000000" w:themeColor="text1"/>
        </w:rPr>
        <w:t>.</w:t>
      </w:r>
      <w:r w:rsidR="001A1B45">
        <w:rPr>
          <w:color w:val="000000" w:themeColor="text1"/>
        </w:rPr>
        <w:t xml:space="preserve"> </w:t>
      </w:r>
      <w:r w:rsidR="001A1B45" w:rsidRPr="001A1B45">
        <w:rPr>
          <w:color w:val="000000" w:themeColor="text1"/>
        </w:rPr>
        <w:t>за създаване на Механизъм за възстановяване и устойчивост</w:t>
      </w:r>
      <w:r w:rsidR="001A1B45">
        <w:rPr>
          <w:color w:val="000000" w:themeColor="text1"/>
        </w:rPr>
        <w:t xml:space="preserve"> (</w:t>
      </w:r>
      <w:r w:rsidRPr="00690625">
        <w:rPr>
          <w:color w:val="000000" w:themeColor="text1"/>
        </w:rPr>
        <w:t>Регламента за МВУ</w:t>
      </w:r>
      <w:r w:rsidR="001A1B45">
        <w:rPr>
          <w:color w:val="000000" w:themeColor="text1"/>
        </w:rPr>
        <w:t>)</w:t>
      </w:r>
      <w:r w:rsidRPr="00690625">
        <w:rPr>
          <w:color w:val="000000" w:themeColor="text1"/>
        </w:rPr>
        <w:t>.</w:t>
      </w:r>
    </w:p>
    <w:p w:rsidR="00170995" w:rsidRPr="00690625" w:rsidRDefault="00170995" w:rsidP="007C388C">
      <w:pPr>
        <w:suppressAutoHyphens/>
        <w:spacing w:before="120" w:after="120" w:line="360" w:lineRule="auto"/>
        <w:jc w:val="both"/>
        <w:rPr>
          <w:color w:val="000000" w:themeColor="text1"/>
        </w:rPr>
      </w:pPr>
      <w:r w:rsidRPr="00690625">
        <w:rPr>
          <w:color w:val="000000" w:themeColor="text1"/>
        </w:rPr>
        <w:lastRenderedPageBreak/>
        <w:t>При оценка</w:t>
      </w:r>
      <w:r w:rsidR="00451AA1">
        <w:rPr>
          <w:color w:val="000000" w:themeColor="text1"/>
        </w:rPr>
        <w:t xml:space="preserve">та на качествените критерии </w:t>
      </w:r>
      <w:r w:rsidRPr="00690625">
        <w:rPr>
          <w:color w:val="000000" w:themeColor="text1"/>
        </w:rPr>
        <w:t xml:space="preserve">ще бъдат взети предвид следните </w:t>
      </w:r>
      <w:r w:rsidR="00E31A99">
        <w:rPr>
          <w:color w:val="000000" w:themeColor="text1"/>
        </w:rPr>
        <w:t>елементи</w:t>
      </w:r>
      <w:r w:rsidRPr="00690625">
        <w:rPr>
          <w:color w:val="000000" w:themeColor="text1"/>
        </w:rPr>
        <w:t>:</w:t>
      </w:r>
    </w:p>
    <w:p w:rsidR="00170995" w:rsidRPr="00690625" w:rsidRDefault="00170995" w:rsidP="007C388C">
      <w:pPr>
        <w:suppressAutoHyphens/>
        <w:spacing w:before="120" w:after="120" w:line="360" w:lineRule="auto"/>
        <w:jc w:val="both"/>
        <w:rPr>
          <w:color w:val="000000" w:themeColor="text1"/>
        </w:rPr>
      </w:pPr>
      <w:r w:rsidRPr="00690625">
        <w:rPr>
          <w:color w:val="000000" w:themeColor="text1"/>
        </w:rPr>
        <w:t>а) брой на базовите станции, до които трябва да се осигури преносна мрежа, обхванати от мярката;</w:t>
      </w:r>
    </w:p>
    <w:p w:rsidR="00170995" w:rsidRPr="00690625" w:rsidRDefault="00170995" w:rsidP="007C388C">
      <w:pPr>
        <w:suppressAutoHyphens/>
        <w:spacing w:before="120" w:after="120" w:line="360" w:lineRule="auto"/>
        <w:jc w:val="both"/>
        <w:rPr>
          <w:color w:val="000000" w:themeColor="text1"/>
        </w:rPr>
      </w:pPr>
      <w:r w:rsidRPr="00690625">
        <w:rPr>
          <w:color w:val="000000" w:themeColor="text1"/>
        </w:rPr>
        <w:t>б) брой на базо</w:t>
      </w:r>
      <w:r w:rsidR="0031153E">
        <w:rPr>
          <w:color w:val="000000" w:themeColor="text1"/>
        </w:rPr>
        <w:t xml:space="preserve">вите </w:t>
      </w:r>
      <w:r w:rsidRPr="00690625">
        <w:rPr>
          <w:color w:val="000000" w:themeColor="text1"/>
        </w:rPr>
        <w:t>станци</w:t>
      </w:r>
      <w:r w:rsidR="0031153E">
        <w:rPr>
          <w:color w:val="000000" w:themeColor="text1"/>
        </w:rPr>
        <w:t>и</w:t>
      </w:r>
      <w:r w:rsidRPr="00690625">
        <w:rPr>
          <w:color w:val="000000" w:themeColor="text1"/>
        </w:rPr>
        <w:t>, които могат да поберат най-голям брой оператори на мобилни мрежи (ОММ);</w:t>
      </w:r>
    </w:p>
    <w:p w:rsidR="00170995" w:rsidRDefault="00170995" w:rsidP="007C388C">
      <w:pPr>
        <w:suppressAutoHyphens/>
        <w:spacing w:before="120" w:after="120" w:line="360" w:lineRule="auto"/>
        <w:jc w:val="both"/>
        <w:rPr>
          <w:color w:val="000000" w:themeColor="text1"/>
        </w:rPr>
      </w:pPr>
      <w:r w:rsidRPr="00690625">
        <w:rPr>
          <w:color w:val="000000" w:themeColor="text1"/>
        </w:rPr>
        <w:t>в) степента, в която проектът възнамерява да използва повторно съществуващата инфраструктура;</w:t>
      </w:r>
    </w:p>
    <w:p w:rsidR="00451AA1" w:rsidRPr="00690625" w:rsidRDefault="00451AA1" w:rsidP="007C388C">
      <w:pPr>
        <w:suppressAutoHyphens/>
        <w:spacing w:before="120" w:after="120" w:line="360" w:lineRule="auto"/>
        <w:jc w:val="both"/>
        <w:rPr>
          <w:color w:val="000000" w:themeColor="text1"/>
        </w:rPr>
      </w:pPr>
      <w:r>
        <w:rPr>
          <w:color w:val="000000" w:themeColor="text1"/>
        </w:rPr>
        <w:t>г) осигуряване в максимална степен на свързаност за държавната мрежа;</w:t>
      </w:r>
    </w:p>
    <w:p w:rsidR="00170995" w:rsidRPr="00690625" w:rsidRDefault="00451AA1" w:rsidP="007C388C">
      <w:pPr>
        <w:tabs>
          <w:tab w:val="left" w:pos="284"/>
          <w:tab w:val="left" w:pos="709"/>
        </w:tabs>
        <w:suppressAutoHyphens/>
        <w:spacing w:before="120" w:after="120" w:line="360" w:lineRule="auto"/>
        <w:jc w:val="both"/>
        <w:rPr>
          <w:color w:val="000000" w:themeColor="text1"/>
        </w:rPr>
      </w:pPr>
      <w:r>
        <w:rPr>
          <w:color w:val="000000" w:themeColor="text1"/>
        </w:rPr>
        <w:t>д</w:t>
      </w:r>
      <w:r w:rsidR="00170995" w:rsidRPr="00690625">
        <w:rPr>
          <w:color w:val="000000" w:themeColor="text1"/>
        </w:rPr>
        <w:t xml:space="preserve">) техническото решение, предложено от </w:t>
      </w:r>
      <w:r w:rsidR="0031153E">
        <w:rPr>
          <w:color w:val="000000" w:themeColor="text1"/>
        </w:rPr>
        <w:t>кандидатите</w:t>
      </w:r>
      <w:r w:rsidR="00170995" w:rsidRPr="00690625">
        <w:rPr>
          <w:color w:val="000000" w:themeColor="text1"/>
        </w:rPr>
        <w:t xml:space="preserve"> за разгръщане на инфраструктурата;</w:t>
      </w:r>
    </w:p>
    <w:p w:rsidR="00170995" w:rsidRPr="007E6B8A" w:rsidRDefault="00451AA1" w:rsidP="007C388C">
      <w:pPr>
        <w:suppressAutoHyphens/>
        <w:spacing w:before="120" w:after="120" w:line="360" w:lineRule="auto"/>
        <w:jc w:val="both"/>
        <w:rPr>
          <w:color w:val="000000" w:themeColor="text1"/>
        </w:rPr>
      </w:pPr>
      <w:r>
        <w:rPr>
          <w:color w:val="000000" w:themeColor="text1"/>
        </w:rPr>
        <w:t>е</w:t>
      </w:r>
      <w:r w:rsidR="00170995" w:rsidRPr="00690625">
        <w:rPr>
          <w:color w:val="000000" w:themeColor="text1"/>
        </w:rPr>
        <w:t>) качеството и подробностите на проектното предложение.</w:t>
      </w:r>
    </w:p>
    <w:p w:rsidR="009B3C33" w:rsidRPr="00946C7C" w:rsidRDefault="00946C7C" w:rsidP="007C388C">
      <w:pPr>
        <w:suppressAutoHyphens/>
        <w:spacing w:before="120" w:after="120" w:line="360" w:lineRule="auto"/>
        <w:jc w:val="both"/>
        <w:rPr>
          <w:color w:val="000000" w:themeColor="text1"/>
        </w:rPr>
      </w:pPr>
      <w:r w:rsidRPr="00690625">
        <w:rPr>
          <w:color w:val="000000" w:themeColor="text1"/>
        </w:rPr>
        <w:t xml:space="preserve">При планирането на изграждането на инфраструктура операторите трябва да вземат предвид цялата съществуваща </w:t>
      </w:r>
      <w:r w:rsidR="005635FF">
        <w:rPr>
          <w:color w:val="000000" w:themeColor="text1"/>
        </w:rPr>
        <w:t xml:space="preserve">електронна съобщителна </w:t>
      </w:r>
      <w:r w:rsidRPr="00690625">
        <w:rPr>
          <w:color w:val="000000" w:themeColor="text1"/>
        </w:rPr>
        <w:t xml:space="preserve">инфраструктура в съответните интервенционни области, която може да бъде използвана повторно. </w:t>
      </w:r>
      <w:r w:rsidR="009B3C33" w:rsidRPr="009B3C33">
        <w:t xml:space="preserve">Освен това повторното използване на съществуващите инфраструктури за намаляване на разходите по мярката ще се счита за предимство при оценката на участниците в процедурата. </w:t>
      </w:r>
    </w:p>
    <w:p w:rsidR="006D4A77" w:rsidRDefault="006D4A77" w:rsidP="007C388C">
      <w:pPr>
        <w:suppressAutoHyphens/>
        <w:spacing w:before="120" w:after="120" w:line="360" w:lineRule="auto"/>
        <w:jc w:val="both"/>
        <w:rPr>
          <w:color w:val="000000" w:themeColor="text1"/>
        </w:rPr>
      </w:pPr>
      <w:r>
        <w:rPr>
          <w:color w:val="000000" w:themeColor="text1"/>
        </w:rPr>
        <w:t xml:space="preserve">Кандидатите </w:t>
      </w:r>
      <w:r w:rsidR="00170995" w:rsidRPr="00690625">
        <w:rPr>
          <w:color w:val="000000" w:themeColor="text1"/>
        </w:rPr>
        <w:t xml:space="preserve">се </w:t>
      </w:r>
      <w:r w:rsidR="00427069">
        <w:rPr>
          <w:color w:val="000000" w:themeColor="text1"/>
        </w:rPr>
        <w:t>задължават в рамките на процедурата</w:t>
      </w:r>
      <w:r w:rsidR="00170995" w:rsidRPr="00690625">
        <w:rPr>
          <w:color w:val="000000" w:themeColor="text1"/>
        </w:rPr>
        <w:t xml:space="preserve"> да предоставят</w:t>
      </w:r>
      <w:r w:rsidR="00427069">
        <w:rPr>
          <w:color w:val="000000" w:themeColor="text1"/>
        </w:rPr>
        <w:t xml:space="preserve"> проект на условия за достъп на едро</w:t>
      </w:r>
      <w:r w:rsidR="00170995" w:rsidRPr="00690625">
        <w:rPr>
          <w:color w:val="000000" w:themeColor="text1"/>
        </w:rPr>
        <w:t xml:space="preserve"> като част от своята оферта в рамките на конкурсната процедура за подбор</w:t>
      </w:r>
      <w:r>
        <w:rPr>
          <w:color w:val="000000" w:themeColor="text1"/>
        </w:rPr>
        <w:t>, като включат следните елементи:</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Предоставяне на достъп до пасивна инфраструктура: От бенефицие</w:t>
      </w:r>
      <w:r>
        <w:rPr>
          <w:color w:val="000000" w:themeColor="text1"/>
        </w:rPr>
        <w:t>рите</w:t>
      </w:r>
      <w:r w:rsidRPr="006D4A77">
        <w:rPr>
          <w:color w:val="000000" w:themeColor="text1"/>
        </w:rPr>
        <w:t xml:space="preserve"> се изисква да осигурят на други оператори неограничен достъп до пасивната инфраструктура, която изграждат. Този достъп трябва да бъде предоставен за неопределено време от датата на завършване на инфраструктурата. Целта е да се увеличи максимално полезността на финансираната инфраструктура, като се даде възможност на по-широк набор от доставчици на услуги да предоставят такива, като по този начин се подобрят конкурентните пазарни условия.</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lastRenderedPageBreak/>
        <w:t xml:space="preserve">Условия за достъп до инфраструктура: Достъпът до инфраструктура трябва да се предоставя при условия, които са прозрачни, справедливи и недискриминационни. Тази рамка гарантира, че всички потенциални потребители имат еднаква възможност да използват инфраструктурата, насърчавайки приобщаваща пазарна среда. </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Изискване за оператив</w:t>
      </w:r>
      <w:r>
        <w:rPr>
          <w:color w:val="000000" w:themeColor="text1"/>
        </w:rPr>
        <w:t>на продължителност: Бенефициерите</w:t>
      </w:r>
      <w:r w:rsidRPr="006D4A77">
        <w:rPr>
          <w:color w:val="000000" w:themeColor="text1"/>
        </w:rPr>
        <w:t xml:space="preserve"> имат задължение да експлоатират финансираната инфраструктура за минимална продължителност от 20 години след завършването на проекта. Този дългосрочен оперативен ангажимент гарантира устойчива наличност и поддръжка на инфраструктурата, като по този начин осигурява постоянни ползи от първоначалната инвестиция.</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Непрекъснатост на задълженията за достъп: Задълженията за предоставяне на достъп до инфраструктурата остават обвързващи, независимо от всякакви промени в собствеността, управлението или оперативния контрол на инфраструктурата. Това условие гарантира, че инфраструктурата продължава да служи на предвидената обществена и икономическа полза, независимо от корпоративното преструктуриране или прехвърлянето на собственост.</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 xml:space="preserve">Цената на едро за достъп до новоизградената мрежа </w:t>
      </w:r>
      <w:r>
        <w:rPr>
          <w:color w:val="000000" w:themeColor="text1"/>
        </w:rPr>
        <w:t xml:space="preserve">следва да се </w:t>
      </w:r>
      <w:r w:rsidRPr="006D4A77">
        <w:rPr>
          <w:color w:val="000000" w:themeColor="text1"/>
        </w:rPr>
        <w:t>основава на референтни показатели и принципи на ценообразуване:</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а) средни публикувани цени на едро, които преобладават в други сравними региони с повече конкуренция в страната;</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б) регулираните цени, които вече са определени или одобрени от националния регулаторен орган – КРС за съответните пазари и услуги; или</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в) разходната ориентация или методиката в съответствие със секторната регулаторна рамка.</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Бенефициерът е длъжен да публикува и актуализира на своя уебсайт информацията за достъпа до мрежата на едро за всяка от включените в мярката услуги на едро, както за пасивни, така и за активни елементи, за наличния капацитет и за цените, и трябва да съобщи съответните референтни оферти и интернет връзка към публикацията на КРС.</w:t>
      </w:r>
    </w:p>
    <w:p w:rsidR="00170995" w:rsidRPr="00690625" w:rsidRDefault="006D4A77" w:rsidP="007C388C">
      <w:pPr>
        <w:suppressAutoHyphens/>
        <w:spacing w:before="120" w:after="120" w:line="360" w:lineRule="auto"/>
        <w:jc w:val="both"/>
        <w:rPr>
          <w:color w:val="000000" w:themeColor="text1"/>
        </w:rPr>
      </w:pPr>
      <w:r w:rsidRPr="006D4A77">
        <w:rPr>
          <w:color w:val="000000" w:themeColor="text1"/>
        </w:rPr>
        <w:lastRenderedPageBreak/>
        <w:t>По време на тръжната процедура от кандидатите се изисква да представят подробен финансов план, неразделна част от бизнес плана. Този план трябва да очертае планираните инвестиции и текущите оперативни разходи, необходими за разгръщането и поддръжката на инфраструктурата.</w:t>
      </w:r>
      <w:r>
        <w:rPr>
          <w:color w:val="000000" w:themeColor="text1"/>
        </w:rPr>
        <w:t xml:space="preserve"> </w:t>
      </w:r>
      <w:r w:rsidR="00170995" w:rsidRPr="00690625">
        <w:rPr>
          <w:color w:val="000000" w:themeColor="text1"/>
        </w:rPr>
        <w:t>Ако е необходимо, MTC ще се консултира с КРС, за да провери дали офертата на едро отговаря на изискванията и референтните показатели (например за продукти за достъп, за които няма подобни регулирани продукти).</w:t>
      </w:r>
    </w:p>
    <w:p w:rsidR="00170995" w:rsidRPr="00690625" w:rsidRDefault="00935DB6" w:rsidP="007C388C">
      <w:pPr>
        <w:suppressAutoHyphens/>
        <w:spacing w:before="120" w:after="120" w:line="360" w:lineRule="auto"/>
        <w:jc w:val="both"/>
        <w:rPr>
          <w:color w:val="000000" w:themeColor="text1"/>
        </w:rPr>
      </w:pPr>
      <w:r>
        <w:rPr>
          <w:color w:val="000000" w:themeColor="text1"/>
        </w:rPr>
        <w:t>Във финансовия</w:t>
      </w:r>
      <w:r w:rsidR="00170995" w:rsidRPr="00690625">
        <w:rPr>
          <w:color w:val="000000" w:themeColor="text1"/>
        </w:rPr>
        <w:t xml:space="preserve"> план следва също така да се прогнозират очакваните печалби за период от най-малко </w:t>
      </w:r>
      <w:r w:rsidR="006F1EB0">
        <w:rPr>
          <w:color w:val="000000" w:themeColor="text1"/>
        </w:rPr>
        <w:t>20</w:t>
      </w:r>
      <w:r w:rsidR="006F1EB0" w:rsidRPr="00690625">
        <w:rPr>
          <w:color w:val="000000" w:themeColor="text1"/>
        </w:rPr>
        <w:t xml:space="preserve"> </w:t>
      </w:r>
      <w:r w:rsidR="00170995" w:rsidRPr="00690625">
        <w:rPr>
          <w:color w:val="000000" w:themeColor="text1"/>
        </w:rPr>
        <w:t xml:space="preserve">години след приключването на проекта. </w:t>
      </w:r>
    </w:p>
    <w:p w:rsidR="003F1496" w:rsidRPr="00CA4856" w:rsidRDefault="003F1496" w:rsidP="007C388C">
      <w:pPr>
        <w:pStyle w:val="Heading3"/>
        <w:suppressAutoHyphens/>
        <w:spacing w:before="120" w:after="120" w:line="360" w:lineRule="auto"/>
        <w:rPr>
          <w:rFonts w:ascii="Times New Roman" w:hAnsi="Times New Roman"/>
          <w:sz w:val="24"/>
          <w:szCs w:val="24"/>
        </w:rPr>
      </w:pPr>
      <w:bookmarkStart w:id="28" w:name="_Toc183440896"/>
      <w:r w:rsidRPr="00CA4856">
        <w:rPr>
          <w:rFonts w:ascii="Times New Roman" w:hAnsi="Times New Roman"/>
          <w:sz w:val="24"/>
          <w:szCs w:val="24"/>
        </w:rPr>
        <w:t>11.2. Критерии за недопустимост на кандидатите</w:t>
      </w:r>
      <w:bookmarkEnd w:id="27"/>
      <w:bookmarkEnd w:id="28"/>
      <w:r w:rsidRPr="00CA4856">
        <w:rPr>
          <w:rFonts w:ascii="Times New Roman" w:hAnsi="Times New Roman"/>
          <w:sz w:val="24"/>
          <w:szCs w:val="24"/>
        </w:rPr>
        <w:t xml:space="preserve"> </w:t>
      </w:r>
    </w:p>
    <w:p w:rsidR="003F1496" w:rsidRPr="00CA4856" w:rsidRDefault="003F1496" w:rsidP="007C388C">
      <w:pPr>
        <w:suppressAutoHyphens/>
        <w:spacing w:before="120" w:after="120" w:line="360" w:lineRule="auto"/>
        <w:jc w:val="both"/>
        <w:rPr>
          <w:color w:val="000000" w:themeColor="text1"/>
        </w:rPr>
      </w:pPr>
      <w:r w:rsidRPr="00CA4856">
        <w:rPr>
          <w:b/>
          <w:color w:val="000000" w:themeColor="text1"/>
        </w:rPr>
        <w:t xml:space="preserve">1) </w:t>
      </w:r>
      <w:r w:rsidRPr="00CA4856">
        <w:rPr>
          <w:color w:val="000000" w:themeColor="text1"/>
        </w:rPr>
        <w:t xml:space="preserve">Съгласно чл. 6 от ПМС №114/2022 г., потенциалните кандидати </w:t>
      </w:r>
      <w:r w:rsidRPr="00CA4856">
        <w:rPr>
          <w:b/>
          <w:color w:val="000000" w:themeColor="text1"/>
        </w:rPr>
        <w:t>не могат</w:t>
      </w:r>
      <w:r w:rsidRPr="00CA4856">
        <w:rPr>
          <w:color w:val="000000" w:themeColor="text1"/>
        </w:rPr>
        <w:t xml:space="preserve"> да участват в настоящата процедура чрез подбор на предложения за изпълнение на инвестиции от крайни получатели и да получат безвъзмездно финансиране, в случай че:</w:t>
      </w:r>
    </w:p>
    <w:p w:rsidR="003F1496" w:rsidRPr="00CA4856" w:rsidRDefault="003F1496" w:rsidP="007C388C">
      <w:pPr>
        <w:suppressAutoHyphens/>
        <w:spacing w:before="120" w:after="120" w:line="360" w:lineRule="auto"/>
        <w:jc w:val="both"/>
        <w:rPr>
          <w:color w:val="000000" w:themeColor="text1"/>
        </w:rPr>
      </w:pPr>
      <w:r w:rsidRPr="00CA4856">
        <w:rPr>
          <w:color w:val="000000" w:themeColor="text1"/>
        </w:rPr>
        <w:t>a) са обявени в несъстоятелност;</w:t>
      </w:r>
    </w:p>
    <w:p w:rsidR="003F1496" w:rsidRPr="00CA4856" w:rsidRDefault="003F1496" w:rsidP="007C388C">
      <w:pPr>
        <w:suppressAutoHyphens/>
        <w:spacing w:before="120" w:after="120" w:line="360" w:lineRule="auto"/>
        <w:jc w:val="both"/>
        <w:rPr>
          <w:color w:val="000000" w:themeColor="text1"/>
        </w:rPr>
      </w:pPr>
      <w:r w:rsidRPr="00CA4856">
        <w:rPr>
          <w:color w:val="000000" w:themeColor="text1"/>
        </w:rPr>
        <w:t>б) са в производство по несъстоятелност;</w:t>
      </w:r>
    </w:p>
    <w:p w:rsidR="003F1496" w:rsidRPr="00CA4856" w:rsidRDefault="003F1496" w:rsidP="007C388C">
      <w:pPr>
        <w:suppressAutoHyphens/>
        <w:spacing w:before="120" w:after="120" w:line="360" w:lineRule="auto"/>
        <w:jc w:val="both"/>
        <w:rPr>
          <w:color w:val="000000" w:themeColor="text1"/>
        </w:rPr>
      </w:pPr>
      <w:r w:rsidRPr="00CA4856">
        <w:rPr>
          <w:color w:val="000000" w:themeColor="text1"/>
        </w:rPr>
        <w:t xml:space="preserve">в) са в процедура по ликвидация; </w:t>
      </w:r>
    </w:p>
    <w:p w:rsidR="003F1496" w:rsidRPr="00E13676" w:rsidRDefault="003F1496" w:rsidP="007C388C">
      <w:pPr>
        <w:suppressAutoHyphens/>
        <w:spacing w:before="120" w:after="120" w:line="360" w:lineRule="auto"/>
        <w:jc w:val="both"/>
        <w:rPr>
          <w:color w:val="000000" w:themeColor="text1"/>
        </w:rPr>
      </w:pPr>
      <w:r w:rsidRPr="00CA4856">
        <w:rPr>
          <w:color w:val="000000" w:themeColor="text1"/>
        </w:rPr>
        <w:t>г) са сключили извънсъдебно споразумение с кредиторите си по смисъла на чл. 740 от Търговския закон;</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д) са преустановили дейността си;</w:t>
      </w:r>
    </w:p>
    <w:p w:rsidR="003F1496" w:rsidRPr="00E13676" w:rsidRDefault="003F1496" w:rsidP="007C388C">
      <w:pPr>
        <w:suppressAutoHyphens/>
        <w:spacing w:before="120" w:after="120" w:line="360" w:lineRule="auto"/>
        <w:jc w:val="both"/>
        <w:rPr>
          <w:color w:val="000000" w:themeColor="text1"/>
        </w:rPr>
      </w:pPr>
      <w:r w:rsidRPr="00E13676" w:rsidDel="005D3556">
        <w:rPr>
          <w:color w:val="000000" w:themeColor="text1"/>
        </w:rPr>
        <w:t>е)</w:t>
      </w:r>
      <w:r w:rsidRPr="00E13676">
        <w:rPr>
          <w:color w:val="000000" w:themeColor="text1"/>
        </w:rPr>
        <w:t xml:space="preserve"> се намират в подобно положение, произтичащо от сходна на горепосочените по букви от а) до д) процедури, съгласно законодателството на държавата, в която са установени (в случай че кандидатът е чуждестранно лице);</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ж) са лишени от правото да упражняват определена професия или дейност съгласно законодателството на държавата, в която е извършено деянието;</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lastRenderedPageBreak/>
        <w:t>з) са сключили споразумение с други лица с цел нарушаване на конкуренцията, когато нарушението е установено с акт на компетентен орган;</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и) е доказано, че са виновни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й) имат публични задължения по чл. 162, ал. 2, т. 1 (за данъци, акцизи, мита, задължителни осигурителни вноски и други вноски за бюджета)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и не е допуснато разсрочване, отсрочване и обезпечение на задълженията, или размерът на неплатените дължими данъци или социалноосигурителни вноски е повече от 1 на сто от сумата на годишния общ оборот от икономическата им дейност за последната приключена финансова година, или е повече от 50 000 лева;</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к) е установено, че:</w:t>
      </w:r>
    </w:p>
    <w:p w:rsidR="003F1496" w:rsidRPr="00E13676" w:rsidRDefault="003F1496" w:rsidP="007C388C">
      <w:pPr>
        <w:suppressAutoHyphens/>
        <w:spacing w:before="120" w:after="120" w:line="360" w:lineRule="auto"/>
        <w:ind w:left="567"/>
        <w:jc w:val="both"/>
        <w:rPr>
          <w:color w:val="000000" w:themeColor="text1"/>
        </w:rPr>
      </w:pPr>
      <w:r w:rsidRPr="00E13676">
        <w:rPr>
          <w:color w:val="000000" w:themeColor="text1"/>
        </w:rPr>
        <w:t>1) са представили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3F1496" w:rsidRPr="00E13676" w:rsidRDefault="003F1496" w:rsidP="007C388C">
      <w:pPr>
        <w:suppressAutoHyphens/>
        <w:spacing w:before="120" w:after="120" w:line="360" w:lineRule="auto"/>
        <w:ind w:left="567"/>
        <w:jc w:val="both"/>
        <w:rPr>
          <w:color w:val="000000" w:themeColor="text1"/>
        </w:rPr>
      </w:pPr>
      <w:r w:rsidRPr="00E13676">
        <w:rPr>
          <w:color w:val="000000" w:themeColor="text1"/>
        </w:rPr>
        <w:t>2)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 xml:space="preserve">л)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w:t>
      </w:r>
      <w:r w:rsidRPr="00E13676">
        <w:rPr>
          <w:color w:val="000000" w:themeColor="text1"/>
        </w:rPr>
        <w:lastRenderedPageBreak/>
        <w:t>компетентен орган, съгласно законодателството на държавата, в която кандидатът или участникът е установен;</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м) не са изпълнили решение на Европейската комисия с разпореждане за възстановяване и влязъл в сила акт за установяване на публично вземане, когато това е приложимо, по смисъла на чл. 44 от Закона за държавните помощи и не е възстановило изцяло неправомерна и несъвместима държавна помощ или неправилно използвана държавна помощ;</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н) лицата, които представляват кандидата, са осъждани с влязла в сила присъда за:</w:t>
      </w:r>
    </w:p>
    <w:p w:rsidR="003F1496" w:rsidRPr="00E13676" w:rsidRDefault="003F1496" w:rsidP="007C388C">
      <w:pPr>
        <w:suppressAutoHyphens/>
        <w:spacing w:before="120" w:after="120" w:line="360" w:lineRule="auto"/>
        <w:ind w:left="567"/>
        <w:jc w:val="both"/>
        <w:rPr>
          <w:color w:val="000000" w:themeColor="text1"/>
        </w:rPr>
      </w:pPr>
      <w:r w:rsidRPr="00E13676">
        <w:rPr>
          <w:color w:val="000000" w:themeColor="text1"/>
        </w:rPr>
        <w:t>1) престъпление по чл. 108а, чл. 159а – 159г, чл. 172, чл. 192а, чл. 194 – 217, чл. 219 – 252, чл. 253 – 260, чл. 301 – 307, чл. 321, чл. 321а и чл. 352 – 353е от Наказателния кодекс;</w:t>
      </w:r>
    </w:p>
    <w:p w:rsidR="003F1496" w:rsidRPr="00E13676" w:rsidRDefault="003F1496" w:rsidP="007C388C">
      <w:pPr>
        <w:suppressAutoHyphens/>
        <w:spacing w:before="120" w:after="120" w:line="360" w:lineRule="auto"/>
        <w:ind w:left="567"/>
        <w:jc w:val="both"/>
        <w:rPr>
          <w:color w:val="000000" w:themeColor="text1"/>
        </w:rPr>
      </w:pPr>
      <w:r w:rsidRPr="00E13676">
        <w:rPr>
          <w:color w:val="000000" w:themeColor="text1"/>
        </w:rPr>
        <w:t>2) престъпление, аналогично на тези по горната хипотеза (буква н), т. 1)), в друга държава членка или трета страна.</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о) за лицата, които представляват кандидата, е налице конфликт на интереси, във връзка с процедурата за предоставяне на средства, който не може да бъде отстранен;</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п) лицата, които представляват кандидата, са опитали да:</w:t>
      </w:r>
    </w:p>
    <w:p w:rsidR="003F1496" w:rsidRPr="00E13676" w:rsidRDefault="003F1496" w:rsidP="007C388C">
      <w:pPr>
        <w:suppressAutoHyphens/>
        <w:spacing w:before="120" w:after="120" w:line="360" w:lineRule="auto"/>
        <w:ind w:left="567"/>
        <w:jc w:val="both"/>
        <w:rPr>
          <w:color w:val="000000" w:themeColor="text1"/>
        </w:rPr>
      </w:pPr>
      <w:r w:rsidRPr="00E13676">
        <w:rPr>
          <w:color w:val="000000" w:themeColor="text1"/>
        </w:rPr>
        <w:t>1) повлияят на вземането на решение от страна на СНД, свързано с отстраняването, подбора или възлагането, включително чрез предоставяне на невярна или заблуждаваща информация, или</w:t>
      </w:r>
    </w:p>
    <w:p w:rsidR="003F1496" w:rsidRPr="00E13676" w:rsidRDefault="003F1496" w:rsidP="007C388C">
      <w:pPr>
        <w:suppressAutoHyphens/>
        <w:spacing w:before="120" w:after="120" w:line="360" w:lineRule="auto"/>
        <w:ind w:left="567"/>
        <w:jc w:val="both"/>
        <w:rPr>
          <w:color w:val="000000" w:themeColor="text1"/>
        </w:rPr>
      </w:pPr>
      <w:r w:rsidRPr="00E13676">
        <w:rPr>
          <w:color w:val="000000" w:themeColor="text1"/>
        </w:rPr>
        <w:t>2) получат информация, която може да им даде неоснователно предимство в процедурата за предоставяне на средства.</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р) при които член на управителен или контролен орган, както и временно изпълняващ такава длъжност, включително прокурист или търговски пълномощник, е свързано лице по смисъла на § 1, т. 15 от допълнителните разпоредби на Закона за противодействие на корупцията и за отнемане на незаконно придобитото имущество с ръководителя на структурата за наблюдение и докладване.</w:t>
      </w:r>
    </w:p>
    <w:p w:rsidR="0001164B" w:rsidRPr="00E13676" w:rsidRDefault="00C61C68" w:rsidP="007C388C">
      <w:pPr>
        <w:suppressAutoHyphens/>
        <w:spacing w:before="120" w:after="120" w:line="360" w:lineRule="auto"/>
        <w:jc w:val="both"/>
        <w:rPr>
          <w:color w:val="000000" w:themeColor="text1"/>
        </w:rPr>
      </w:pPr>
      <w:r w:rsidRPr="00E13676">
        <w:rPr>
          <w:b/>
          <w:color w:val="000000" w:themeColor="text1"/>
        </w:rPr>
        <w:lastRenderedPageBreak/>
        <w:t>2</w:t>
      </w:r>
      <w:r w:rsidR="0001164B" w:rsidRPr="00E13676">
        <w:rPr>
          <w:b/>
          <w:color w:val="000000" w:themeColor="text1"/>
        </w:rPr>
        <w:t>)</w:t>
      </w:r>
      <w:r w:rsidR="0001164B" w:rsidRPr="00E13676">
        <w:rPr>
          <w:color w:val="000000" w:themeColor="text1"/>
        </w:rPr>
        <w:t xml:space="preserve"> </w:t>
      </w:r>
      <w:bookmarkStart w:id="29" w:name="_Hlk146703872"/>
      <w:r w:rsidR="0001164B" w:rsidRPr="00E13676">
        <w:rPr>
          <w:color w:val="000000" w:themeColor="text1"/>
        </w:rPr>
        <w:t>Не могат да участват в процедурата и да получат безвъзмездно финансиране кандидати, за които е установено с влязъл в сила административен акт наличието на недължимо платени и/или надплатени суми, както и неправомерно получени и/или неправомерно усвоени средства по предложения за изпълнение на инвестиции,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Шенген и Преходния финансов инструмент, включително от свързаното с тях национално съфинансиране</w:t>
      </w:r>
      <w:bookmarkEnd w:id="29"/>
      <w:r w:rsidR="0001164B" w:rsidRPr="00E13676">
        <w:rPr>
          <w:color w:val="000000" w:themeColor="text1"/>
        </w:rPr>
        <w:t xml:space="preserve">. </w:t>
      </w:r>
    </w:p>
    <w:p w:rsidR="0001164B" w:rsidRPr="00E13676" w:rsidRDefault="0001164B"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color w:val="000000" w:themeColor="text1"/>
        </w:rPr>
      </w:pPr>
      <w:r w:rsidRPr="00E13676">
        <w:rPr>
          <w:b/>
          <w:color w:val="000000" w:themeColor="text1"/>
        </w:rPr>
        <w:t>ВАЖНО:</w:t>
      </w:r>
      <w:r w:rsidRPr="00E13676">
        <w:rPr>
          <w:color w:val="000000" w:themeColor="text1"/>
        </w:rPr>
        <w:t xml:space="preserve"> Горепосоченото ограничение касае само вземания произтичащи от недължимо платени и/или надплатени суми, както и неправомерно получени и/или неправомерно усвоени средства по предложения за изпълнение на инвестиции,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Шенген и Преходния финансов инструмент, които към момента на кандидатстване не са изплатени към съответната финансираща институция. Издаването на акт за установяване на публично държавно вземане само по себе си не е основание за отстраняване на кандидата за недопустимост, ако установеното вземане е погасено.</w:t>
      </w:r>
    </w:p>
    <w:p w:rsidR="0001164B" w:rsidRPr="00E13676" w:rsidRDefault="0001164B" w:rsidP="007C388C">
      <w:pPr>
        <w:suppressAutoHyphens/>
        <w:spacing w:before="120" w:after="120" w:line="360" w:lineRule="auto"/>
        <w:jc w:val="both"/>
        <w:rPr>
          <w:color w:val="000000" w:themeColor="text1"/>
        </w:rPr>
      </w:pPr>
    </w:p>
    <w:p w:rsidR="006D4A77" w:rsidRPr="006D4A77" w:rsidRDefault="00C61C68" w:rsidP="007C388C">
      <w:pPr>
        <w:suppressAutoHyphens/>
        <w:spacing w:before="120" w:after="120" w:line="360" w:lineRule="auto"/>
        <w:jc w:val="both"/>
        <w:rPr>
          <w:color w:val="000000" w:themeColor="text1"/>
        </w:rPr>
      </w:pPr>
      <w:r w:rsidRPr="00E13676">
        <w:rPr>
          <w:b/>
          <w:bCs/>
          <w:color w:val="000000" w:themeColor="text1"/>
        </w:rPr>
        <w:t>3</w:t>
      </w:r>
      <w:r w:rsidR="003F1496" w:rsidRPr="00E13676">
        <w:rPr>
          <w:b/>
          <w:bCs/>
          <w:color w:val="000000" w:themeColor="text1"/>
        </w:rPr>
        <w:t>)</w:t>
      </w:r>
      <w:r w:rsidR="003F1496" w:rsidRPr="00E13676">
        <w:rPr>
          <w:color w:val="000000" w:themeColor="text1"/>
        </w:rPr>
        <w:t xml:space="preserve"> </w:t>
      </w:r>
      <w:r w:rsidR="00487E8C" w:rsidRPr="00E13676">
        <w:rPr>
          <w:color w:val="000000" w:themeColor="text1"/>
        </w:rPr>
        <w:t>Недопустими са кандидати, които са предприятия в затруднено положение</w:t>
      </w:r>
      <w:r w:rsidR="00D939DD" w:rsidRPr="00E13676">
        <w:rPr>
          <w:rStyle w:val="FootnoteReference"/>
          <w:color w:val="000000" w:themeColor="text1"/>
        </w:rPr>
        <w:footnoteReference w:id="4"/>
      </w:r>
      <w:r w:rsidR="00487E8C" w:rsidRPr="00E13676">
        <w:rPr>
          <w:color w:val="000000" w:themeColor="text1"/>
        </w:rPr>
        <w:t xml:space="preserve"> по смисъла на Регламент (ЕС) № 651/2014. </w:t>
      </w:r>
      <w:r w:rsidR="006D4A77" w:rsidRPr="006D4A77">
        <w:rPr>
          <w:color w:val="000000" w:themeColor="text1"/>
        </w:rPr>
        <w:t xml:space="preserve">Съгласно чл. 1, пар. 4, буква в) от Регламент на Комисията (ЕС) № 651/2014 недопустими са кандидати (и на ниво група), които са в затруднено положение съгласно чл. 2, пар. 18 от същия регламент, което ще се провери преди сключване на административен договор. </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lastRenderedPageBreak/>
        <w:t>Изискванията по чл. 2, пар. 18 буква „в“ се прилагат и на равнище група – както за предприятието–кандидат, така и за предприятията, с които кандидатът формира група предприятия (разгледани в цялост). СНД извършва проверка за наличие на „предприятие в затруднено положение“ по смисъла на чл. 2, пар. 18 от Регламент на Комисията (ЕС) № 651/2014 на кандидата и лицата, с които същите са свързани, формирайки група, въз основа на подадената декларация и чрез извършване на служебна проверка на наличната информация в публичните регистри (вкл. Търговския регистър и Регистъра на ЮЛНЦ). Проверката и определянето на „група“ ще се извършва по отношение на предприятие майка и всички негови дъщерни предприятия, като: „предприятие майка“ означава предприятие, което контролира едно или повече дъщерни предприятия и съответно „дъщерно предприятие“ означава предприятие, което се контролира от предприятие майка, включително дъщерно предприятие на крайно предприятие майка. Проверката включва преценка във връзка с наличието на икономически субект (кандидат), имащ общ източник на контрол на основание не само представения консолидиран финансов отчет (за група предприятия), но и наличната информация в публичните регистри (вкл. Търговския регистър и Регистъра на ЮЛНЦ), отчитайки възможността общия източник на контрол да се осъществява, както от предприятия, така и от физически лица, участващи в управлението им.</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 xml:space="preserve">С оглед на горното, преди сключване на административния договор, конкретният бенефициер следва да представи обосновка дали кандидатът формира група предприятия, съответния анализ по чл. 2, пар. 18 за кандидата или общо за групата и Годишен финансов отчет за последните две приключени финансови години (консолидиран – за група предприятия). В случай че при проверката на посочения документ бъде установена липса на документи и/или друга нередовност и същите са оповестени в Търговския регистър и регистъра на ЮЛНЦ и са в идентичен формат на образеца, в който са подадени към Националния статистически институт (НСИ), документите няма да бъдат изисквани като това обстоятелство ще се проверява по </w:t>
      </w:r>
      <w:r w:rsidRPr="006D4A77">
        <w:rPr>
          <w:color w:val="000000" w:themeColor="text1"/>
        </w:rPr>
        <w:lastRenderedPageBreak/>
        <w:t>служебен път съгласно чл. 23, ал. 6 от Закона за търговския регистър и регистъра на ЮЛНЦ.</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СНД може да изиска от предприятието отделен анализ на обстоятелствата по чл. 2, пар. 18, заверени от независим одитор и от ръководителя на предприятието.</w:t>
      </w:r>
    </w:p>
    <w:p w:rsidR="006D4A77" w:rsidRPr="006D4A77" w:rsidRDefault="006D4A77" w:rsidP="007C388C">
      <w:pPr>
        <w:suppressAutoHyphens/>
        <w:spacing w:before="120" w:after="120" w:line="360" w:lineRule="auto"/>
        <w:jc w:val="both"/>
        <w:rPr>
          <w:color w:val="000000" w:themeColor="text1"/>
        </w:rPr>
      </w:pPr>
      <w:r w:rsidRPr="006D4A77">
        <w:rPr>
          <w:color w:val="000000" w:themeColor="text1"/>
        </w:rPr>
        <w:t>С оглед на горното преди сключване на административния договор за предоставяне на безвъзмездна финансова помощ конкретният бенефициер следва да представи Справка-извлечение за последната приключила финансова година от счетоводните сметки на кандидата по индивидуалния сметкоплан, утвърден от ръководството на дружеството, отчитащи приходите от дейността, в т.ч. отчитащи нетните приходи от продажби, включително и приходите от финансирания и субсидии от държавата, както и отсрочени и разсрочени публични вземания - копие, заверено от кандидата.</w:t>
      </w:r>
    </w:p>
    <w:p w:rsidR="003F1496" w:rsidRPr="00E13676" w:rsidRDefault="006D4A77" w:rsidP="007C388C">
      <w:pPr>
        <w:suppressAutoHyphens/>
        <w:spacing w:before="120" w:after="120" w:line="360" w:lineRule="auto"/>
        <w:jc w:val="both"/>
        <w:rPr>
          <w:color w:val="000000" w:themeColor="text1"/>
        </w:rPr>
      </w:pPr>
      <w:r w:rsidRPr="006D4A77">
        <w:rPr>
          <w:color w:val="000000" w:themeColor="text1"/>
        </w:rPr>
        <w:t>СНД ще извършва документална проверка на деклари</w:t>
      </w:r>
      <w:r w:rsidR="00232808">
        <w:rPr>
          <w:color w:val="000000" w:themeColor="text1"/>
        </w:rPr>
        <w:t>раното от конкретния бенефициер</w:t>
      </w:r>
      <w:r w:rsidRPr="006D4A77">
        <w:rPr>
          <w:color w:val="000000" w:themeColor="text1"/>
        </w:rPr>
        <w:t xml:space="preserve"> обстоятелство, касаещо затруднено положение.</w:t>
      </w:r>
    </w:p>
    <w:p w:rsidR="007F1FDD" w:rsidRPr="00E13676" w:rsidRDefault="00CA4856" w:rsidP="007C388C">
      <w:pPr>
        <w:suppressAutoHyphens/>
        <w:spacing w:before="120" w:after="120" w:line="360" w:lineRule="auto"/>
        <w:jc w:val="both"/>
        <w:rPr>
          <w:color w:val="000000" w:themeColor="text1"/>
        </w:rPr>
      </w:pPr>
      <w:r>
        <w:rPr>
          <w:b/>
          <w:bCs/>
          <w:color w:val="000000" w:themeColor="text1"/>
        </w:rPr>
        <w:t>4</w:t>
      </w:r>
      <w:r w:rsidR="00EA5BB8" w:rsidRPr="00E13676">
        <w:rPr>
          <w:b/>
          <w:bCs/>
          <w:color w:val="000000" w:themeColor="text1"/>
        </w:rPr>
        <w:t>)</w:t>
      </w:r>
      <w:r w:rsidR="00EA5BB8" w:rsidRPr="00E13676">
        <w:rPr>
          <w:color w:val="000000" w:themeColor="text1"/>
        </w:rPr>
        <w:t xml:space="preserve"> </w:t>
      </w:r>
      <w:bookmarkStart w:id="30" w:name="_Hlk146704290"/>
      <w:r w:rsidR="00EA5BB8" w:rsidRPr="00E13676">
        <w:rPr>
          <w:color w:val="000000" w:themeColor="text1"/>
        </w:rPr>
        <w:t xml:space="preserve">Недопустими са </w:t>
      </w:r>
      <w:r w:rsidR="007F1FDD" w:rsidRPr="00E13676">
        <w:rPr>
          <w:color w:val="000000" w:themeColor="text1"/>
        </w:rPr>
        <w:t xml:space="preserve">кандидати, които </w:t>
      </w:r>
      <w:r w:rsidR="00536706" w:rsidRPr="00E13676">
        <w:rPr>
          <w:color w:val="000000" w:themeColor="text1"/>
        </w:rPr>
        <w:t xml:space="preserve">са предприятия с наложени </w:t>
      </w:r>
      <w:r w:rsidR="007F1FDD" w:rsidRPr="00E13676">
        <w:rPr>
          <w:color w:val="000000" w:themeColor="text1"/>
        </w:rPr>
        <w:t xml:space="preserve">санкции, приети </w:t>
      </w:r>
      <w:r w:rsidR="00536706" w:rsidRPr="00E13676">
        <w:rPr>
          <w:color w:val="000000" w:themeColor="text1"/>
        </w:rPr>
        <w:t xml:space="preserve">Европейския </w:t>
      </w:r>
      <w:r w:rsidR="00EF00C0" w:rsidRPr="00E13676">
        <w:rPr>
          <w:color w:val="000000" w:themeColor="text1"/>
        </w:rPr>
        <w:t>с</w:t>
      </w:r>
      <w:r w:rsidR="007F1FDD" w:rsidRPr="00E13676">
        <w:rPr>
          <w:color w:val="000000" w:themeColor="text1"/>
        </w:rPr>
        <w:t>ъюз:</w:t>
      </w:r>
    </w:p>
    <w:p w:rsidR="007F1FDD" w:rsidRPr="00E13676" w:rsidRDefault="007F1FDD" w:rsidP="007C388C">
      <w:pPr>
        <w:suppressAutoHyphens/>
        <w:spacing w:before="120" w:after="120" w:line="360" w:lineRule="auto"/>
        <w:jc w:val="both"/>
        <w:rPr>
          <w:color w:val="000000" w:themeColor="text1"/>
        </w:rPr>
      </w:pPr>
      <w:r w:rsidRPr="00E13676">
        <w:rPr>
          <w:color w:val="000000" w:themeColor="text1"/>
        </w:rPr>
        <w:t>а) лица, образувания или органи, изрично посочени в правните актове за налагане на тези санкции;</w:t>
      </w:r>
    </w:p>
    <w:p w:rsidR="007F1FDD" w:rsidRPr="00E13676" w:rsidRDefault="007F1FDD" w:rsidP="007C388C">
      <w:pPr>
        <w:suppressAutoHyphens/>
        <w:spacing w:before="120" w:after="120" w:line="360" w:lineRule="auto"/>
        <w:jc w:val="both"/>
        <w:rPr>
          <w:color w:val="000000" w:themeColor="text1"/>
        </w:rPr>
      </w:pPr>
      <w:r w:rsidRPr="00E13676">
        <w:rPr>
          <w:color w:val="000000" w:themeColor="text1"/>
        </w:rPr>
        <w:t xml:space="preserve">б) предприятия, притежавани или контролирани от лица, образувания или органи, </w:t>
      </w:r>
      <w:r w:rsidR="00536706" w:rsidRPr="00E13676">
        <w:rPr>
          <w:color w:val="000000" w:themeColor="text1"/>
        </w:rPr>
        <w:t xml:space="preserve">срещу които са наложени </w:t>
      </w:r>
      <w:r w:rsidRPr="00E13676">
        <w:rPr>
          <w:color w:val="000000" w:themeColor="text1"/>
        </w:rPr>
        <w:t>санкции</w:t>
      </w:r>
      <w:r w:rsidR="00536706" w:rsidRPr="00E13676">
        <w:rPr>
          <w:color w:val="000000" w:themeColor="text1"/>
        </w:rPr>
        <w:t xml:space="preserve"> от страна на Европейския </w:t>
      </w:r>
      <w:r w:rsidR="00EF00C0" w:rsidRPr="00E13676">
        <w:rPr>
          <w:color w:val="000000" w:themeColor="text1"/>
        </w:rPr>
        <w:t>с</w:t>
      </w:r>
      <w:r w:rsidR="00536706" w:rsidRPr="00E13676">
        <w:rPr>
          <w:color w:val="000000" w:themeColor="text1"/>
        </w:rPr>
        <w:t xml:space="preserve">ъюз </w:t>
      </w:r>
      <w:r w:rsidRPr="00E13676">
        <w:rPr>
          <w:color w:val="000000" w:themeColor="text1"/>
        </w:rPr>
        <w:t>, приети от Съюза; или</w:t>
      </w:r>
    </w:p>
    <w:p w:rsidR="00D10E18" w:rsidRPr="00E13676" w:rsidRDefault="007F1FDD" w:rsidP="007C388C">
      <w:pPr>
        <w:suppressAutoHyphens/>
        <w:spacing w:before="120" w:after="120" w:line="360" w:lineRule="auto"/>
        <w:jc w:val="both"/>
        <w:rPr>
          <w:color w:val="000000" w:themeColor="text1"/>
        </w:rPr>
      </w:pPr>
      <w:r w:rsidRPr="00E13676">
        <w:rPr>
          <w:color w:val="000000" w:themeColor="text1"/>
        </w:rPr>
        <w:t>в) предприятия</w:t>
      </w:r>
      <w:r w:rsidR="00EF00C0" w:rsidRPr="00E13676">
        <w:rPr>
          <w:color w:val="000000" w:themeColor="text1"/>
        </w:rPr>
        <w:t xml:space="preserve"> осъществяващи</w:t>
      </w:r>
      <w:r w:rsidRPr="00E13676">
        <w:rPr>
          <w:color w:val="000000" w:themeColor="text1"/>
        </w:rPr>
        <w:t xml:space="preserve"> дейност в отрасли, </w:t>
      </w:r>
      <w:r w:rsidR="00EF00C0" w:rsidRPr="00E13676">
        <w:rPr>
          <w:color w:val="000000" w:themeColor="text1"/>
        </w:rPr>
        <w:t>подложени на</w:t>
      </w:r>
      <w:r w:rsidRPr="00E13676">
        <w:rPr>
          <w:color w:val="000000" w:themeColor="text1"/>
        </w:rPr>
        <w:t xml:space="preserve"> санкции, приети от </w:t>
      </w:r>
      <w:r w:rsidR="00EF00C0" w:rsidRPr="00E13676">
        <w:rPr>
          <w:color w:val="000000" w:themeColor="text1"/>
        </w:rPr>
        <w:t>Европейския съюз</w:t>
      </w:r>
      <w:r w:rsidRPr="00E13676">
        <w:rPr>
          <w:color w:val="000000" w:themeColor="text1"/>
        </w:rPr>
        <w:t>, доколкото помощта би подкопала целите на съответните санкции.</w:t>
      </w:r>
    </w:p>
    <w:p w:rsidR="00B77034" w:rsidRPr="005D089E" w:rsidRDefault="00D10E18" w:rsidP="007C388C">
      <w:pPr>
        <w:suppressAutoHyphens/>
        <w:spacing w:before="120" w:after="120" w:line="360" w:lineRule="auto"/>
        <w:jc w:val="both"/>
      </w:pPr>
      <w:r w:rsidRPr="00E13676">
        <w:rPr>
          <w:color w:val="000000" w:themeColor="text1"/>
        </w:rPr>
        <w:t xml:space="preserve">Повече информация за санкциите, наложени от Европейския съюз е налична на </w:t>
      </w:r>
      <w:bookmarkEnd w:id="30"/>
      <w:r w:rsidR="00CB1117">
        <w:fldChar w:fldCharType="begin"/>
      </w:r>
      <w:r w:rsidR="00CB1117">
        <w:instrText xml:space="preserve"> HYPERLINK "</w:instrText>
      </w:r>
      <w:r w:rsidR="00CB1117" w:rsidRPr="00CB1117">
        <w:instrText>https://finance.ec.europa.eu/eu-and-world/sanctions-restrictive-measures_en?prefLang=bg&amp;etrans=bg</w:instrText>
      </w:r>
      <w:r w:rsidR="00CB1117">
        <w:instrText xml:space="preserve">" </w:instrText>
      </w:r>
      <w:r w:rsidR="00CB1117">
        <w:fldChar w:fldCharType="separate"/>
      </w:r>
      <w:r w:rsidR="00CB1117" w:rsidRPr="00741813">
        <w:rPr>
          <w:rStyle w:val="Hyperlink"/>
        </w:rPr>
        <w:t>https://finance.ec.europa.eu/eu-and-world/sanctions-restrictive-measures_en?prefLang=bg&amp;etrans=bg</w:t>
      </w:r>
      <w:r w:rsidR="00CB1117">
        <w:fldChar w:fldCharType="end"/>
      </w:r>
    </w:p>
    <w:p w:rsidR="00EA5BB8" w:rsidRPr="00E13676" w:rsidRDefault="00B77034"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color w:val="000000" w:themeColor="text1"/>
        </w:rPr>
      </w:pPr>
      <w:r w:rsidRPr="005251F5">
        <w:rPr>
          <w:b/>
          <w:color w:val="000000" w:themeColor="text1"/>
        </w:rPr>
        <w:t>ВАЖНО</w:t>
      </w:r>
      <w:r w:rsidRPr="005251F5">
        <w:rPr>
          <w:color w:val="000000" w:themeColor="text1"/>
        </w:rPr>
        <w:t xml:space="preserve">: По отношение на съответствието с посочените в т. 1) до т. </w:t>
      </w:r>
      <w:r w:rsidR="00C61C68" w:rsidRPr="005251F5">
        <w:rPr>
          <w:color w:val="000000" w:themeColor="text1"/>
        </w:rPr>
        <w:t>5</w:t>
      </w:r>
      <w:r w:rsidRPr="005251F5">
        <w:rPr>
          <w:color w:val="000000" w:themeColor="text1"/>
        </w:rPr>
        <w:t xml:space="preserve">) обстоятелства, при кандидатстване се декларира от кандидатите в </w:t>
      </w:r>
      <w:bookmarkStart w:id="31" w:name="_Hlk169708200"/>
      <w:r w:rsidRPr="005251F5">
        <w:rPr>
          <w:color w:val="000000" w:themeColor="text1"/>
        </w:rPr>
        <w:t>Декларация при кандидатстване</w:t>
      </w:r>
      <w:r w:rsidR="00DD7262" w:rsidRPr="005251F5">
        <w:rPr>
          <w:color w:val="000000" w:themeColor="text1"/>
        </w:rPr>
        <w:t xml:space="preserve"> и за </w:t>
      </w:r>
      <w:r w:rsidR="00DD7262" w:rsidRPr="005251F5">
        <w:rPr>
          <w:color w:val="000000" w:themeColor="text1"/>
        </w:rPr>
        <w:lastRenderedPageBreak/>
        <w:t>приемане на условията на процедурата</w:t>
      </w:r>
      <w:bookmarkEnd w:id="31"/>
      <w:r w:rsidRPr="005251F5">
        <w:rPr>
          <w:color w:val="000000" w:themeColor="text1"/>
        </w:rPr>
        <w:t xml:space="preserve"> (Приложение </w:t>
      </w:r>
      <w:r w:rsidR="002957CC" w:rsidRPr="005251F5">
        <w:rPr>
          <w:color w:val="000000" w:themeColor="text1"/>
        </w:rPr>
        <w:t xml:space="preserve">5) и Декларация за държавни помощи (Приложение 2), </w:t>
      </w:r>
      <w:r w:rsidRPr="005251F5">
        <w:rPr>
          <w:color w:val="000000" w:themeColor="text1"/>
        </w:rPr>
        <w:t>а преди сключване на договори за финансиране с одобрените кандидати, съответствието им ще се проверява чрез извършване на съответните служебни  и документални проверки.</w:t>
      </w:r>
      <w:r w:rsidR="00164F57">
        <w:rPr>
          <w:color w:val="000000" w:themeColor="text1"/>
        </w:rPr>
        <w:t xml:space="preserve">  </w:t>
      </w:r>
    </w:p>
    <w:p w:rsidR="003F1496" w:rsidRDefault="003F1496" w:rsidP="007C388C">
      <w:pPr>
        <w:suppressAutoHyphens/>
        <w:spacing w:before="120" w:after="120" w:line="360" w:lineRule="auto"/>
        <w:jc w:val="both"/>
        <w:rPr>
          <w:color w:val="000000" w:themeColor="text1"/>
        </w:rPr>
      </w:pPr>
      <w:r w:rsidRPr="00E13676">
        <w:rPr>
          <w:color w:val="000000" w:themeColor="text1"/>
        </w:rPr>
        <w:t>Допълнително, кандидатите следва да имат предвид, че критериите за недопустимост</w:t>
      </w:r>
      <w:r w:rsidR="00A94D17" w:rsidRPr="00E13676">
        <w:rPr>
          <w:color w:val="000000" w:themeColor="text1"/>
        </w:rPr>
        <w:t xml:space="preserve"> по т. 11.2</w:t>
      </w:r>
      <w:r w:rsidRPr="00E13676">
        <w:rPr>
          <w:color w:val="000000" w:themeColor="text1"/>
        </w:rPr>
        <w:t xml:space="preserve"> се прилагат кумулативно с критериите за допустимост по т. 11.</w:t>
      </w:r>
      <w:r w:rsidR="001A3013" w:rsidRPr="00E13676">
        <w:rPr>
          <w:color w:val="000000" w:themeColor="text1"/>
        </w:rPr>
        <w:t>1</w:t>
      </w:r>
      <w:r w:rsidRPr="00E13676">
        <w:rPr>
          <w:color w:val="000000" w:themeColor="text1"/>
        </w:rPr>
        <w:t xml:space="preserve"> от настоящата процедура.</w:t>
      </w:r>
    </w:p>
    <w:p w:rsidR="007C388C" w:rsidRPr="00E13676" w:rsidRDefault="007C388C" w:rsidP="007C388C">
      <w:pPr>
        <w:suppressAutoHyphens/>
        <w:spacing w:before="120" w:after="120" w:line="360" w:lineRule="auto"/>
        <w:jc w:val="both"/>
        <w:rPr>
          <w:color w:val="000000" w:themeColor="text1"/>
        </w:rPr>
      </w:pPr>
    </w:p>
    <w:p w:rsidR="003F1496" w:rsidRPr="00E13676" w:rsidRDefault="003F1496" w:rsidP="007C388C">
      <w:pPr>
        <w:pStyle w:val="Heading2"/>
        <w:suppressAutoHyphens/>
        <w:spacing w:after="120" w:line="360" w:lineRule="auto"/>
        <w:rPr>
          <w:rFonts w:ascii="Times New Roman" w:hAnsi="Times New Roman"/>
          <w:sz w:val="24"/>
          <w:szCs w:val="24"/>
        </w:rPr>
      </w:pPr>
      <w:bookmarkStart w:id="32" w:name="_Toc106285930"/>
      <w:bookmarkStart w:id="33" w:name="_Toc183440897"/>
      <w:r w:rsidRPr="00E13676">
        <w:rPr>
          <w:rFonts w:ascii="Times New Roman" w:hAnsi="Times New Roman"/>
          <w:sz w:val="24"/>
          <w:szCs w:val="24"/>
        </w:rPr>
        <w:t>12. Допустими партньори:</w:t>
      </w:r>
      <w:bookmarkEnd w:id="32"/>
      <w:bookmarkEnd w:id="33"/>
    </w:p>
    <w:p w:rsidR="00C30741" w:rsidRDefault="003F1496" w:rsidP="007C388C">
      <w:pPr>
        <w:suppressAutoHyphens/>
        <w:spacing w:before="120" w:after="120" w:line="360" w:lineRule="auto"/>
        <w:jc w:val="both"/>
        <w:rPr>
          <w:color w:val="000000" w:themeColor="text1"/>
        </w:rPr>
      </w:pPr>
      <w:r w:rsidRPr="00E13676">
        <w:rPr>
          <w:color w:val="000000" w:themeColor="text1"/>
        </w:rPr>
        <w:t>По настоящата процедура за изпълнение на инвестиции от крайни получатели</w:t>
      </w:r>
      <w:r w:rsidRPr="00E13676" w:rsidDel="00E1501F">
        <w:rPr>
          <w:color w:val="000000" w:themeColor="text1"/>
        </w:rPr>
        <w:t xml:space="preserve"> </w:t>
      </w:r>
      <w:r w:rsidRPr="00E13676">
        <w:rPr>
          <w:color w:val="000000" w:themeColor="text1"/>
        </w:rPr>
        <w:t xml:space="preserve">кандидатите </w:t>
      </w:r>
      <w:r w:rsidR="00164F57">
        <w:rPr>
          <w:color w:val="000000" w:themeColor="text1"/>
        </w:rPr>
        <w:t xml:space="preserve">може да </w:t>
      </w:r>
      <w:r w:rsidRPr="00E13676">
        <w:rPr>
          <w:color w:val="000000" w:themeColor="text1"/>
        </w:rPr>
        <w:t>участват индивидуално</w:t>
      </w:r>
      <w:r w:rsidR="00164F57">
        <w:rPr>
          <w:color w:val="000000" w:themeColor="text1"/>
        </w:rPr>
        <w:t xml:space="preserve"> или</w:t>
      </w:r>
      <w:r w:rsidRPr="00E13676">
        <w:rPr>
          <w:color w:val="000000" w:themeColor="text1"/>
        </w:rPr>
        <w:t xml:space="preserve"> съвместно с партньорски или други организации.</w:t>
      </w:r>
      <w:r w:rsidR="00290188" w:rsidRPr="00E13676">
        <w:rPr>
          <w:color w:val="000000" w:themeColor="text1"/>
        </w:rPr>
        <w:t xml:space="preserve"> </w:t>
      </w:r>
      <w:r w:rsidR="00CB1117">
        <w:rPr>
          <w:color w:val="000000" w:themeColor="text1"/>
        </w:rPr>
        <w:t xml:space="preserve">В случай на партньорство следва да се представи споразумение между ангажираните страни. </w:t>
      </w:r>
    </w:p>
    <w:p w:rsidR="000C765B" w:rsidRPr="000C765B" w:rsidRDefault="000C765B" w:rsidP="007C388C">
      <w:pPr>
        <w:suppressAutoHyphens/>
        <w:spacing w:before="120" w:after="120" w:line="360" w:lineRule="auto"/>
        <w:jc w:val="both"/>
        <w:rPr>
          <w:color w:val="000000" w:themeColor="text1"/>
        </w:rPr>
      </w:pPr>
    </w:p>
    <w:p w:rsidR="00D95097" w:rsidRPr="000C765B" w:rsidRDefault="00D95097" w:rsidP="007C388C">
      <w:pPr>
        <w:pStyle w:val="Heading2"/>
        <w:suppressAutoHyphens/>
        <w:spacing w:after="120" w:line="360" w:lineRule="auto"/>
        <w:rPr>
          <w:rFonts w:ascii="Times New Roman" w:hAnsi="Times New Roman"/>
          <w:sz w:val="24"/>
          <w:szCs w:val="24"/>
        </w:rPr>
      </w:pPr>
      <w:bookmarkStart w:id="34" w:name="_Toc183440898"/>
      <w:bookmarkStart w:id="35" w:name="_Toc106285932"/>
      <w:r w:rsidRPr="00E13676">
        <w:rPr>
          <w:rFonts w:ascii="Times New Roman" w:hAnsi="Times New Roman"/>
          <w:sz w:val="24"/>
          <w:szCs w:val="24"/>
        </w:rPr>
        <w:t>1</w:t>
      </w:r>
      <w:r w:rsidR="007A3227" w:rsidRPr="00E13676">
        <w:rPr>
          <w:rFonts w:ascii="Times New Roman" w:hAnsi="Times New Roman"/>
          <w:sz w:val="24"/>
          <w:szCs w:val="24"/>
        </w:rPr>
        <w:t>3</w:t>
      </w:r>
      <w:r w:rsidRPr="00E13676">
        <w:rPr>
          <w:rFonts w:ascii="Times New Roman" w:hAnsi="Times New Roman"/>
          <w:sz w:val="24"/>
          <w:szCs w:val="24"/>
        </w:rPr>
        <w:t>. Дейности, допустими за финансиране:</w:t>
      </w:r>
      <w:bookmarkEnd w:id="34"/>
    </w:p>
    <w:p w:rsidR="003F1496" w:rsidRPr="005D482B" w:rsidRDefault="003F1496" w:rsidP="007C388C">
      <w:pPr>
        <w:pStyle w:val="Heading3"/>
        <w:suppressAutoHyphens/>
        <w:spacing w:before="120" w:after="120" w:line="360" w:lineRule="auto"/>
        <w:rPr>
          <w:rFonts w:ascii="Times New Roman" w:hAnsi="Times New Roman"/>
          <w:sz w:val="24"/>
          <w:szCs w:val="24"/>
        </w:rPr>
      </w:pPr>
      <w:bookmarkStart w:id="36" w:name="_Toc183440899"/>
      <w:r w:rsidRPr="00E13676">
        <w:rPr>
          <w:rFonts w:ascii="Times New Roman" w:hAnsi="Times New Roman"/>
          <w:sz w:val="24"/>
          <w:szCs w:val="24"/>
        </w:rPr>
        <w:t>1</w:t>
      </w:r>
      <w:r w:rsidR="007A3227" w:rsidRPr="00E13676">
        <w:rPr>
          <w:rFonts w:ascii="Times New Roman" w:hAnsi="Times New Roman"/>
          <w:sz w:val="24"/>
          <w:szCs w:val="24"/>
        </w:rPr>
        <w:t>3</w:t>
      </w:r>
      <w:r w:rsidRPr="00E13676">
        <w:rPr>
          <w:rFonts w:ascii="Times New Roman" w:hAnsi="Times New Roman"/>
          <w:sz w:val="24"/>
          <w:szCs w:val="24"/>
        </w:rPr>
        <w:t>.1. Допустими дейности</w:t>
      </w:r>
      <w:bookmarkEnd w:id="35"/>
      <w:bookmarkEnd w:id="36"/>
    </w:p>
    <w:p w:rsidR="00347FE5" w:rsidRPr="00347FE5" w:rsidRDefault="00347FE5" w:rsidP="00900DDD">
      <w:pPr>
        <w:suppressAutoHyphens/>
        <w:spacing w:before="120" w:after="120" w:line="360" w:lineRule="auto"/>
        <w:jc w:val="both"/>
        <w:rPr>
          <w:color w:val="000000" w:themeColor="text1"/>
        </w:rPr>
      </w:pPr>
      <w:r w:rsidRPr="00347FE5">
        <w:rPr>
          <w:color w:val="000000" w:themeColor="text1"/>
        </w:rPr>
        <w:t>Мярката ще финансира широколентова мрежа, която включва физическата инфраструктура, в т.ч. проводи, неизползвани оптични нишки, разпределителни кутии и кабели</w:t>
      </w:r>
      <w:r w:rsidR="00900DDD">
        <w:t xml:space="preserve">, както </w:t>
      </w:r>
      <w:r w:rsidR="0064165C">
        <w:t xml:space="preserve">и </w:t>
      </w:r>
      <w:r w:rsidR="00900DDD">
        <w:t>а</w:t>
      </w:r>
      <w:r w:rsidR="00900DDD" w:rsidRPr="00900DDD">
        <w:rPr>
          <w:color w:val="000000" w:themeColor="text1"/>
        </w:rPr>
        <w:t>ктивни елементи, необходи</w:t>
      </w:r>
      <w:r w:rsidR="00900DDD">
        <w:rPr>
          <w:color w:val="000000" w:themeColor="text1"/>
        </w:rPr>
        <w:t>ми за експлоатация на влакното и такива</w:t>
      </w:r>
      <w:r w:rsidR="00900DDD" w:rsidRPr="00900DDD">
        <w:rPr>
          <w:color w:val="000000" w:themeColor="text1"/>
        </w:rPr>
        <w:t>, необходими за управление на трафика на данни</w:t>
      </w:r>
      <w:r w:rsidRPr="00347FE5">
        <w:rPr>
          <w:color w:val="000000" w:themeColor="text1"/>
        </w:rPr>
        <w:t xml:space="preserve">. Новоизградените мрежи ще осигуряват достъп както за фиксираните, така и за мобилните мрежи, предоставящи услуги на крайни клиенти. Дейностите по инвестиционно проектиране, съгласуване и одобряване на инвестиционните проекти, по издаване на разрешение за строеж и въвеждане в експлоатация на физическа инфраструктура за разполагане на електронни съобщителни мрежи ще се извършват при условията и по реда на Закона за устройство на територията (ЗУТ). Проектирането и полагането на кабелите, включително на тъмните оптични </w:t>
      </w:r>
      <w:r w:rsidRPr="00347FE5">
        <w:rPr>
          <w:color w:val="000000" w:themeColor="text1"/>
        </w:rPr>
        <w:lastRenderedPageBreak/>
        <w:t>влакна ще се разполагат при спазване на изискванията на Закона за електронните съобщителни мрежи и физическа инфраструктура (ЗЕСМФИ), който транспонира в националното законодателство Директива 2014/61/ЕС на Европейския парламент и на Съвета относно мерките за намаляване на разходите за разгръщане на високоскоростни електронни съобщителни мрежи.</w:t>
      </w:r>
    </w:p>
    <w:p w:rsidR="00347FE5" w:rsidRPr="00347FE5" w:rsidRDefault="00347FE5" w:rsidP="00347FE5">
      <w:pPr>
        <w:suppressAutoHyphens/>
        <w:spacing w:before="120" w:after="120" w:line="360" w:lineRule="auto"/>
        <w:jc w:val="both"/>
        <w:rPr>
          <w:color w:val="000000" w:themeColor="text1"/>
        </w:rPr>
      </w:pPr>
      <w:r w:rsidRPr="00347FE5">
        <w:rPr>
          <w:color w:val="000000" w:themeColor="text1"/>
        </w:rPr>
        <w:t xml:space="preserve">Дейностите, свързани с разполагането на електронна съобщителна мрежа, които се извършват по реда на ЗЕСМФИ и ще се финансират по настоящата процедура включват: </w:t>
      </w:r>
    </w:p>
    <w:p w:rsidR="00347FE5" w:rsidRPr="00347FE5" w:rsidRDefault="00347FE5" w:rsidP="00347FE5">
      <w:pPr>
        <w:suppressAutoHyphens/>
        <w:spacing w:before="120" w:after="120" w:line="360" w:lineRule="auto"/>
        <w:jc w:val="both"/>
        <w:rPr>
          <w:color w:val="000000" w:themeColor="text1"/>
        </w:rPr>
      </w:pPr>
      <w:r w:rsidRPr="00347FE5">
        <w:rPr>
          <w:color w:val="000000" w:themeColor="text1"/>
        </w:rPr>
        <w:t>-</w:t>
      </w:r>
      <w:r w:rsidRPr="00347FE5">
        <w:rPr>
          <w:color w:val="000000" w:themeColor="text1"/>
        </w:rPr>
        <w:tab/>
        <w:t>изтегляне на съобщителни кабели и/или монтаж на други елементи от електронни съобщителни мрежи в съществуваща заварена или търпима физическа инфраструктура по смисъла на § 21 от заключителните разпоредби на Закона за устройство на територията, съответно § 127 от преходните и заключителните разпоредби на Закона за изменение и допълнение на Закона за устройство на територията (обн., ДВ, бр. 82 от 2012 г.; изм., бр. 66 от 2013 г., бр. 98 от 2014 г. и бр. 101 от 2015 г.);</w:t>
      </w:r>
    </w:p>
    <w:p w:rsidR="00347FE5" w:rsidRPr="00347FE5" w:rsidRDefault="00347FE5" w:rsidP="00347FE5">
      <w:pPr>
        <w:suppressAutoHyphens/>
        <w:spacing w:before="120" w:after="120" w:line="360" w:lineRule="auto"/>
        <w:jc w:val="both"/>
        <w:rPr>
          <w:color w:val="000000" w:themeColor="text1"/>
        </w:rPr>
      </w:pPr>
      <w:r w:rsidRPr="00347FE5">
        <w:rPr>
          <w:color w:val="000000" w:themeColor="text1"/>
        </w:rPr>
        <w:t>-</w:t>
      </w:r>
      <w:r w:rsidRPr="00347FE5">
        <w:rPr>
          <w:color w:val="000000" w:themeColor="text1"/>
        </w:rPr>
        <w:tab/>
        <w:t>поддръжка на елементи и оборудване на електронни съобщителни мрежи.</w:t>
      </w:r>
    </w:p>
    <w:p w:rsidR="00347FE5" w:rsidRPr="00347FE5" w:rsidRDefault="00347FE5" w:rsidP="00347FE5">
      <w:pPr>
        <w:suppressAutoHyphens/>
        <w:spacing w:before="120" w:after="120" w:line="360" w:lineRule="auto"/>
        <w:jc w:val="both"/>
        <w:rPr>
          <w:color w:val="000000" w:themeColor="text1"/>
        </w:rPr>
      </w:pPr>
      <w:r w:rsidRPr="00347FE5">
        <w:rPr>
          <w:color w:val="000000" w:themeColor="text1"/>
        </w:rPr>
        <w:t>Дейностите по разполагане на електронни съобщителни мрежи се извършват въз основа на:</w:t>
      </w:r>
    </w:p>
    <w:p w:rsidR="00347FE5" w:rsidRPr="00347FE5" w:rsidRDefault="00347FE5" w:rsidP="00347FE5">
      <w:pPr>
        <w:suppressAutoHyphens/>
        <w:spacing w:before="120" w:after="120" w:line="360" w:lineRule="auto"/>
        <w:jc w:val="both"/>
        <w:rPr>
          <w:color w:val="000000" w:themeColor="text1"/>
        </w:rPr>
      </w:pPr>
      <w:r w:rsidRPr="00347FE5">
        <w:rPr>
          <w:color w:val="000000" w:themeColor="text1"/>
        </w:rPr>
        <w:t>1. проект, изработен от лице, притежаващо необходимата проектантска правоспособност, и</w:t>
      </w:r>
    </w:p>
    <w:p w:rsidR="00347FE5" w:rsidRDefault="00347FE5" w:rsidP="00347FE5">
      <w:pPr>
        <w:suppressAutoHyphens/>
        <w:spacing w:before="120" w:after="120" w:line="360" w:lineRule="auto"/>
        <w:jc w:val="both"/>
        <w:rPr>
          <w:color w:val="000000" w:themeColor="text1"/>
        </w:rPr>
      </w:pPr>
      <w:r w:rsidRPr="00347FE5">
        <w:rPr>
          <w:color w:val="000000" w:themeColor="text1"/>
        </w:rPr>
        <w:t>2. становище на инженер-конструктор и инженер с професионална квалификация в областта на съобщенията с указания за извършване на инсталационните работи.</w:t>
      </w:r>
    </w:p>
    <w:p w:rsidR="00E0368C" w:rsidRDefault="00592FFB" w:rsidP="007C388C">
      <w:pPr>
        <w:suppressAutoHyphens/>
        <w:spacing w:before="120" w:after="120" w:line="360" w:lineRule="auto"/>
        <w:jc w:val="both"/>
        <w:rPr>
          <w:color w:val="000000" w:themeColor="text1"/>
        </w:rPr>
      </w:pPr>
      <w:r>
        <w:rPr>
          <w:color w:val="000000" w:themeColor="text1"/>
        </w:rPr>
        <w:t>Д</w:t>
      </w:r>
      <w:r w:rsidR="003F1496" w:rsidRPr="00E13676">
        <w:rPr>
          <w:color w:val="000000" w:themeColor="text1"/>
        </w:rPr>
        <w:t>опустимите дейности следва да водят до постигане на целта на настоящата процедура при най-адекватното съотношение м</w:t>
      </w:r>
      <w:r>
        <w:rPr>
          <w:color w:val="000000" w:themeColor="text1"/>
        </w:rPr>
        <w:t>ежду очакваните разходи и ползи</w:t>
      </w:r>
      <w:r w:rsidR="0002533B">
        <w:rPr>
          <w:color w:val="000000" w:themeColor="text1"/>
        </w:rPr>
        <w:t>,</w:t>
      </w:r>
      <w:r w:rsidR="00E0368C">
        <w:rPr>
          <w:color w:val="000000" w:themeColor="text1"/>
        </w:rPr>
        <w:t xml:space="preserve"> и включват:</w:t>
      </w:r>
    </w:p>
    <w:p w:rsidR="00E0368C" w:rsidRPr="00E0368C" w:rsidRDefault="00E0368C" w:rsidP="007C388C">
      <w:pPr>
        <w:spacing w:before="100" w:beforeAutospacing="1" w:after="100" w:afterAutospacing="1" w:line="360" w:lineRule="auto"/>
        <w:ind w:firstLine="567"/>
        <w:jc w:val="both"/>
        <w:rPr>
          <w:color w:val="000000"/>
        </w:rPr>
      </w:pPr>
      <w:r w:rsidRPr="00E0368C">
        <w:rPr>
          <w:color w:val="000000"/>
        </w:rPr>
        <w:t>• Инфраструктура</w:t>
      </w:r>
      <w:r w:rsidR="00064855">
        <w:rPr>
          <w:color w:val="000000"/>
        </w:rPr>
        <w:t>,</w:t>
      </w:r>
      <w:r w:rsidR="001265FE">
        <w:rPr>
          <w:color w:val="000000"/>
        </w:rPr>
        <w:t xml:space="preserve"> мрежи и</w:t>
      </w:r>
      <w:r w:rsidRPr="00E0368C">
        <w:rPr>
          <w:color w:val="000000"/>
        </w:rPr>
        <w:t xml:space="preserve"> гражданско строителство</w:t>
      </w:r>
      <w:r>
        <w:rPr>
          <w:color w:val="000000"/>
        </w:rPr>
        <w:t xml:space="preserve">, вкл. </w:t>
      </w:r>
      <w:r w:rsidRPr="00E0368C">
        <w:rPr>
          <w:color w:val="000000"/>
        </w:rPr>
        <w:t>всички строителн</w:t>
      </w:r>
      <w:r w:rsidR="003341EB">
        <w:rPr>
          <w:color w:val="000000"/>
        </w:rPr>
        <w:t>о-монтажни</w:t>
      </w:r>
      <w:r w:rsidRPr="00E0368C">
        <w:rPr>
          <w:color w:val="000000"/>
        </w:rPr>
        <w:t xml:space="preserve"> </w:t>
      </w:r>
      <w:r w:rsidRPr="00731561">
        <w:rPr>
          <w:color w:val="000000"/>
        </w:rPr>
        <w:t>работи</w:t>
      </w:r>
      <w:r w:rsidR="001265FE" w:rsidRPr="00731561">
        <w:rPr>
          <w:color w:val="000000"/>
        </w:rPr>
        <w:t xml:space="preserve">, </w:t>
      </w:r>
      <w:r w:rsidR="00232808" w:rsidRPr="00731561">
        <w:rPr>
          <w:color w:val="000000"/>
        </w:rPr>
        <w:t xml:space="preserve">експлоатационни, </w:t>
      </w:r>
      <w:r w:rsidR="001265FE" w:rsidRPr="00731561">
        <w:rPr>
          <w:color w:val="000000"/>
        </w:rPr>
        <w:t>инсталационни</w:t>
      </w:r>
      <w:r w:rsidR="001265FE">
        <w:rPr>
          <w:color w:val="000000"/>
        </w:rPr>
        <w:t xml:space="preserve"> дейности</w:t>
      </w:r>
      <w:r w:rsidR="007B6583">
        <w:rPr>
          <w:color w:val="000000"/>
        </w:rPr>
        <w:t xml:space="preserve"> и ремонти (текущи и основни ремонти на съществуващата и преизползвана </w:t>
      </w:r>
      <w:r w:rsidR="004424BD">
        <w:rPr>
          <w:color w:val="000000"/>
        </w:rPr>
        <w:t>електронна</w:t>
      </w:r>
      <w:r w:rsidR="007B6583">
        <w:rPr>
          <w:color w:val="000000"/>
        </w:rPr>
        <w:t xml:space="preserve"> съобщителна инфраструктура)</w:t>
      </w:r>
      <w:r w:rsidR="00E16C9C">
        <w:rPr>
          <w:color w:val="000000"/>
        </w:rPr>
        <w:t>,</w:t>
      </w:r>
      <w:r w:rsidRPr="00E0368C">
        <w:rPr>
          <w:color w:val="000000"/>
        </w:rPr>
        <w:t xml:space="preserve"> </w:t>
      </w:r>
      <w:r w:rsidRPr="00E0368C">
        <w:rPr>
          <w:color w:val="000000"/>
        </w:rPr>
        <w:lastRenderedPageBreak/>
        <w:t>необходими за</w:t>
      </w:r>
      <w:r w:rsidR="004500FB">
        <w:rPr>
          <w:color w:val="000000"/>
        </w:rPr>
        <w:t xml:space="preserve"> изграждане на инфраструктура и</w:t>
      </w:r>
      <w:r w:rsidRPr="00E0368C">
        <w:rPr>
          <w:color w:val="000000"/>
        </w:rPr>
        <w:t xml:space="preserve"> </w:t>
      </w:r>
      <w:r w:rsidR="009B6B53">
        <w:rPr>
          <w:color w:val="000000"/>
        </w:rPr>
        <w:t>раз</w:t>
      </w:r>
      <w:r w:rsidRPr="00E0368C">
        <w:rPr>
          <w:color w:val="000000"/>
        </w:rPr>
        <w:t>полагане на оптични кабели и инсталиране на свързаната инфраструктура</w:t>
      </w:r>
      <w:r w:rsidR="004424BD">
        <w:rPr>
          <w:color w:val="000000"/>
        </w:rPr>
        <w:t>/мрежа и техни елементи</w:t>
      </w:r>
      <w:r>
        <w:rPr>
          <w:color w:val="000000"/>
        </w:rPr>
        <w:t>;</w:t>
      </w:r>
      <w:r w:rsidRPr="00E0368C">
        <w:rPr>
          <w:color w:val="000000"/>
        </w:rPr>
        <w:t xml:space="preserve"> </w:t>
      </w:r>
    </w:p>
    <w:p w:rsidR="00E0368C" w:rsidRPr="00E0368C" w:rsidRDefault="00E0368C" w:rsidP="007C388C">
      <w:pPr>
        <w:spacing w:before="100" w:beforeAutospacing="1" w:after="100" w:afterAutospacing="1" w:line="360" w:lineRule="auto"/>
        <w:ind w:firstLine="567"/>
        <w:jc w:val="both"/>
        <w:rPr>
          <w:color w:val="000000"/>
        </w:rPr>
      </w:pPr>
      <w:r w:rsidRPr="00E0368C">
        <w:rPr>
          <w:color w:val="000000"/>
        </w:rPr>
        <w:t>• Закупуване на съществуваща инфраструктура, в случай че се докаже, че разходите са значително по-ниски от тези за изграждане на нова и дължината на тази инфраструктура не надхвърля 10% от общо планираната за съответния район</w:t>
      </w:r>
      <w:r>
        <w:rPr>
          <w:color w:val="000000"/>
        </w:rPr>
        <w:t>;</w:t>
      </w:r>
    </w:p>
    <w:p w:rsidR="00E0368C" w:rsidRPr="00E0368C" w:rsidRDefault="00E0368C" w:rsidP="007C388C">
      <w:pPr>
        <w:spacing w:before="100" w:beforeAutospacing="1" w:after="100" w:afterAutospacing="1" w:line="360" w:lineRule="auto"/>
        <w:ind w:firstLine="567"/>
        <w:jc w:val="both"/>
        <w:rPr>
          <w:color w:val="000000"/>
        </w:rPr>
      </w:pPr>
      <w:r w:rsidRPr="00E0368C">
        <w:rPr>
          <w:color w:val="000000"/>
        </w:rPr>
        <w:t>• Неотменими права за ползване (IRU) на тръба и/или тъмно влакно</w:t>
      </w:r>
      <w:r>
        <w:rPr>
          <w:color w:val="000000"/>
        </w:rPr>
        <w:t>;</w:t>
      </w:r>
      <w:r w:rsidRPr="00E0368C">
        <w:rPr>
          <w:color w:val="000000"/>
        </w:rPr>
        <w:t xml:space="preserve"> </w:t>
      </w:r>
    </w:p>
    <w:p w:rsidR="00E0368C" w:rsidRPr="00E0368C" w:rsidRDefault="00E0368C" w:rsidP="007C388C">
      <w:pPr>
        <w:spacing w:before="100" w:beforeAutospacing="1" w:after="100" w:afterAutospacing="1" w:line="360" w:lineRule="auto"/>
        <w:ind w:firstLine="567"/>
        <w:jc w:val="both"/>
        <w:rPr>
          <w:color w:val="000000"/>
        </w:rPr>
      </w:pPr>
      <w:r w:rsidRPr="00E0368C">
        <w:rPr>
          <w:color w:val="000000"/>
        </w:rPr>
        <w:t xml:space="preserve">• Пасивни </w:t>
      </w:r>
      <w:r w:rsidR="000E7202">
        <w:rPr>
          <w:color w:val="000000"/>
        </w:rPr>
        <w:t xml:space="preserve">инфраструктура и </w:t>
      </w:r>
      <w:r w:rsidRPr="00E0368C">
        <w:rPr>
          <w:color w:val="000000"/>
        </w:rPr>
        <w:t>елементи, необходими за разполагането на</w:t>
      </w:r>
      <w:r w:rsidR="000068FE">
        <w:rPr>
          <w:color w:val="000000"/>
        </w:rPr>
        <w:t xml:space="preserve"> оптичен кабел и/или</w:t>
      </w:r>
      <w:r w:rsidRPr="00E0368C">
        <w:rPr>
          <w:color w:val="000000"/>
        </w:rPr>
        <w:t xml:space="preserve"> тъмно влакно от точката на доставка</w:t>
      </w:r>
      <w:r>
        <w:rPr>
          <w:color w:val="000000"/>
        </w:rPr>
        <w:t>;</w:t>
      </w:r>
      <w:r w:rsidRPr="00E0368C">
        <w:rPr>
          <w:color w:val="000000"/>
        </w:rPr>
        <w:t xml:space="preserve"> </w:t>
      </w:r>
    </w:p>
    <w:p w:rsidR="00E0368C" w:rsidRPr="00E0368C" w:rsidRDefault="00E0368C" w:rsidP="007C388C">
      <w:pPr>
        <w:spacing w:before="100" w:beforeAutospacing="1" w:after="100" w:afterAutospacing="1" w:line="360" w:lineRule="auto"/>
        <w:ind w:firstLine="567"/>
        <w:jc w:val="both"/>
        <w:rPr>
          <w:color w:val="000000"/>
        </w:rPr>
      </w:pPr>
      <w:r w:rsidRPr="00E0368C">
        <w:rPr>
          <w:color w:val="000000"/>
        </w:rPr>
        <w:t xml:space="preserve">• Активни елементи, необходими за експлоатация на </w:t>
      </w:r>
      <w:r w:rsidR="00CD574D">
        <w:rPr>
          <w:color w:val="000000"/>
        </w:rPr>
        <w:t xml:space="preserve">оптичните кабели и/или </w:t>
      </w:r>
      <w:r w:rsidRPr="00E0368C">
        <w:rPr>
          <w:color w:val="000000"/>
        </w:rPr>
        <w:t>влакн</w:t>
      </w:r>
      <w:r w:rsidR="00CD574D">
        <w:rPr>
          <w:color w:val="000000"/>
        </w:rPr>
        <w:t>а</w:t>
      </w:r>
      <w:r>
        <w:rPr>
          <w:color w:val="000000"/>
        </w:rPr>
        <w:t>;</w:t>
      </w:r>
    </w:p>
    <w:p w:rsidR="00E0368C" w:rsidRPr="00E0368C" w:rsidRDefault="00E0368C" w:rsidP="007C388C">
      <w:pPr>
        <w:spacing w:before="100" w:beforeAutospacing="1" w:after="100" w:afterAutospacing="1" w:line="360" w:lineRule="auto"/>
        <w:ind w:firstLine="567"/>
        <w:jc w:val="both"/>
        <w:rPr>
          <w:color w:val="000000"/>
        </w:rPr>
      </w:pPr>
      <w:r w:rsidRPr="00E0368C">
        <w:rPr>
          <w:color w:val="000000"/>
        </w:rPr>
        <w:t>• Активни елементи, необходими за управление на трафика на данни</w:t>
      </w:r>
      <w:r>
        <w:rPr>
          <w:color w:val="000000"/>
        </w:rPr>
        <w:t>;</w:t>
      </w:r>
      <w:r w:rsidRPr="00E0368C">
        <w:rPr>
          <w:color w:val="000000"/>
        </w:rPr>
        <w:t xml:space="preserve"> </w:t>
      </w:r>
    </w:p>
    <w:p w:rsidR="00E0368C" w:rsidRPr="00E0368C" w:rsidRDefault="00E0368C" w:rsidP="007C388C">
      <w:pPr>
        <w:spacing w:before="100" w:beforeAutospacing="1" w:after="100" w:afterAutospacing="1" w:line="360" w:lineRule="auto"/>
        <w:ind w:firstLine="567"/>
        <w:jc w:val="both"/>
        <w:rPr>
          <w:color w:val="000000"/>
        </w:rPr>
      </w:pPr>
      <w:r w:rsidRPr="00E0368C">
        <w:rPr>
          <w:color w:val="000000"/>
        </w:rPr>
        <w:t>• Допълващи елементи</w:t>
      </w:r>
      <w:r w:rsidR="00942E38">
        <w:rPr>
          <w:color w:val="000000"/>
        </w:rPr>
        <w:t xml:space="preserve"> за базовите станции, до които достига електронната съобщителна мрежа, част от проекта</w:t>
      </w:r>
      <w:r w:rsidRPr="00E0368C">
        <w:rPr>
          <w:color w:val="000000"/>
        </w:rPr>
        <w:t xml:space="preserve">, вкл. </w:t>
      </w:r>
      <w:r w:rsidR="00942E38">
        <w:rPr>
          <w:color w:val="000000"/>
        </w:rPr>
        <w:t xml:space="preserve">пасивни елементи, </w:t>
      </w:r>
      <w:r w:rsidR="00445425">
        <w:rPr>
          <w:color w:val="000000"/>
        </w:rPr>
        <w:t>необходими</w:t>
      </w:r>
      <w:r w:rsidR="00942E38">
        <w:rPr>
          <w:color w:val="000000"/>
        </w:rPr>
        <w:t xml:space="preserve"> за разгръщането на високоскоростни мрежи, </w:t>
      </w:r>
      <w:r w:rsidR="0065004B">
        <w:rPr>
          <w:color w:val="000000"/>
        </w:rPr>
        <w:t>електрозахранване</w:t>
      </w:r>
      <w:r w:rsidR="00942E38">
        <w:rPr>
          <w:color w:val="000000"/>
        </w:rPr>
        <w:t xml:space="preserve"> до базовата станция</w:t>
      </w:r>
      <w:r w:rsidR="0065004B">
        <w:rPr>
          <w:color w:val="000000"/>
        </w:rPr>
        <w:t xml:space="preserve"> и </w:t>
      </w:r>
      <w:r w:rsidRPr="00E0368C">
        <w:rPr>
          <w:color w:val="000000"/>
        </w:rPr>
        <w:t>алтернативни енергийни решения</w:t>
      </w:r>
      <w:r w:rsidR="00942E38">
        <w:rPr>
          <w:color w:val="000000"/>
        </w:rPr>
        <w:t xml:space="preserve"> за захранване на последните</w:t>
      </w:r>
      <w:r w:rsidR="0032004F">
        <w:rPr>
          <w:color w:val="000000"/>
        </w:rPr>
        <w:t xml:space="preserve"> и свързаните с това </w:t>
      </w:r>
      <w:r w:rsidR="00D04960">
        <w:rPr>
          <w:color w:val="000000"/>
        </w:rPr>
        <w:t>административни</w:t>
      </w:r>
      <w:r w:rsidR="0032004F">
        <w:rPr>
          <w:color w:val="000000"/>
        </w:rPr>
        <w:t xml:space="preserve"> </w:t>
      </w:r>
      <w:r w:rsidR="00D04960">
        <w:rPr>
          <w:color w:val="000000"/>
        </w:rPr>
        <w:t xml:space="preserve">разходи, в това число за разрешителни и други </w:t>
      </w:r>
      <w:r w:rsidR="0096727D">
        <w:rPr>
          <w:color w:val="000000"/>
        </w:rPr>
        <w:t>административни</w:t>
      </w:r>
      <w:r w:rsidR="00D04960">
        <w:rPr>
          <w:color w:val="000000"/>
        </w:rPr>
        <w:t xml:space="preserve"> актове</w:t>
      </w:r>
      <w:r>
        <w:rPr>
          <w:color w:val="000000"/>
        </w:rPr>
        <w:t>;</w:t>
      </w:r>
    </w:p>
    <w:p w:rsidR="00E0368C" w:rsidRPr="00E0368C" w:rsidRDefault="00E0368C" w:rsidP="007C388C">
      <w:pPr>
        <w:spacing w:before="100" w:beforeAutospacing="1" w:after="100" w:afterAutospacing="1" w:line="360" w:lineRule="auto"/>
        <w:ind w:firstLine="567"/>
        <w:jc w:val="both"/>
        <w:rPr>
          <w:color w:val="000000"/>
        </w:rPr>
      </w:pPr>
      <w:r w:rsidRPr="00E0368C">
        <w:rPr>
          <w:color w:val="000000"/>
        </w:rPr>
        <w:t xml:space="preserve">• Оборудване и материали: </w:t>
      </w:r>
      <w:r w:rsidR="0082608D">
        <w:rPr>
          <w:color w:val="000000"/>
        </w:rPr>
        <w:t>о</w:t>
      </w:r>
      <w:r w:rsidRPr="00E0368C">
        <w:rPr>
          <w:color w:val="000000"/>
        </w:rPr>
        <w:t>бхваща целия хардуер и материали, необходими за работата на мрежата, като оптични кабели, мрежови интерфейси и други елементи, необходими за оптиката и управление на трафика на данни</w:t>
      </w:r>
      <w:r w:rsidR="008432EC">
        <w:rPr>
          <w:color w:val="000000"/>
        </w:rPr>
        <w:t>, както и системите за мониторинг на качеството на трафика и/или експлоатацията на оптичните влакна</w:t>
      </w:r>
      <w:r w:rsidR="0082608D">
        <w:rPr>
          <w:color w:val="000000"/>
        </w:rPr>
        <w:t>;</w:t>
      </w:r>
      <w:r w:rsidRPr="00E0368C">
        <w:rPr>
          <w:color w:val="000000"/>
        </w:rPr>
        <w:t xml:space="preserve"> </w:t>
      </w:r>
    </w:p>
    <w:p w:rsidR="0082608D" w:rsidRDefault="00E0368C" w:rsidP="007C388C">
      <w:pPr>
        <w:spacing w:before="100" w:beforeAutospacing="1" w:after="100" w:afterAutospacing="1" w:line="360" w:lineRule="auto"/>
        <w:jc w:val="both"/>
        <w:rPr>
          <w:color w:val="000000"/>
        </w:rPr>
      </w:pPr>
      <w:r w:rsidRPr="00E0368C">
        <w:rPr>
          <w:color w:val="000000"/>
        </w:rPr>
        <w:t>Установяването на неотменими права за използване (IRU) както за канали, така и за тъмни влакна се считат за допустими разходи. Договорът за IRU трябва да покрива изис</w:t>
      </w:r>
      <w:r w:rsidRPr="00E0368C">
        <w:rPr>
          <w:color w:val="000000"/>
        </w:rPr>
        <w:lastRenderedPageBreak/>
        <w:t>кванията и задълженията, определени в договора за БФП, за да се постигне целта на проекта, както и да се поддържа през периода на задължителна дейност на субсидираната инфраструктура, започвайки от края на изпълнението на проекта.</w:t>
      </w:r>
    </w:p>
    <w:p w:rsidR="00703BA4" w:rsidRDefault="00E0368C" w:rsidP="007C388C">
      <w:pPr>
        <w:spacing w:before="100" w:beforeAutospacing="1" w:after="100" w:afterAutospacing="1" w:line="360" w:lineRule="auto"/>
        <w:jc w:val="both"/>
        <w:rPr>
          <w:color w:val="000000"/>
        </w:rPr>
      </w:pPr>
      <w:r w:rsidRPr="00E0368C">
        <w:rPr>
          <w:color w:val="000000"/>
        </w:rPr>
        <w:t>Оптичните преходни връзки, които трябва да бъдат осигурени, включват както физическата инфраструктура, която трябва да бъде изградена, така и пасивните елементи на тъмното влакно, както и активните елементи, необходими за експлоатация на влакното и за управлението на трафика на данни.</w:t>
      </w:r>
    </w:p>
    <w:p w:rsidR="00866503" w:rsidRPr="0082608D" w:rsidRDefault="00866503" w:rsidP="007C388C">
      <w:pPr>
        <w:spacing w:before="100" w:beforeAutospacing="1" w:after="100" w:afterAutospacing="1" w:line="360" w:lineRule="auto"/>
        <w:jc w:val="both"/>
        <w:rPr>
          <w:color w:val="000000" w:themeColor="text1"/>
        </w:rPr>
      </w:pPr>
      <w:r>
        <w:rPr>
          <w:color w:val="000000"/>
        </w:rPr>
        <w:t>При разполагането на мрежата в съответния район следва да се предвиди възможността за свързване на тази мрежа с мрежите, изградени в други райони, с цел гарантиране общите цели на инвестицията и насърчаване на конкуренцията при бъдещата екплоатация.</w:t>
      </w:r>
    </w:p>
    <w:p w:rsidR="003F1496" w:rsidRPr="00421AED" w:rsidRDefault="00887E85" w:rsidP="007C388C">
      <w:pPr>
        <w:pStyle w:val="ListParagraph"/>
        <w:numPr>
          <w:ilvl w:val="0"/>
          <w:numId w:val="21"/>
        </w:numPr>
        <w:spacing w:line="360" w:lineRule="auto"/>
        <w:rPr>
          <w:rFonts w:ascii="Times New Roman" w:hAnsi="Times New Roman"/>
          <w:b/>
          <w:color w:val="000000" w:themeColor="text1"/>
          <w:sz w:val="24"/>
          <w:szCs w:val="24"/>
        </w:rPr>
      </w:pPr>
      <w:r w:rsidRPr="00421AED">
        <w:rPr>
          <w:rFonts w:ascii="Times New Roman" w:hAnsi="Times New Roman"/>
          <w:b/>
          <w:color w:val="000000" w:themeColor="text1"/>
          <w:sz w:val="24"/>
          <w:szCs w:val="24"/>
        </w:rPr>
        <w:t>Дейностите по д</w:t>
      </w:r>
      <w:r w:rsidR="003F1496" w:rsidRPr="00421AED">
        <w:rPr>
          <w:rFonts w:ascii="Times New Roman" w:hAnsi="Times New Roman"/>
          <w:b/>
          <w:color w:val="000000" w:themeColor="text1"/>
          <w:sz w:val="24"/>
          <w:szCs w:val="24"/>
        </w:rPr>
        <w:t>опустимите предложения за изпълнение на инвестиции следва:</w:t>
      </w:r>
    </w:p>
    <w:p w:rsidR="003F1496" w:rsidRPr="00421AED" w:rsidRDefault="003F1496" w:rsidP="007C388C">
      <w:pPr>
        <w:suppressAutoHyphens/>
        <w:spacing w:before="120" w:after="120" w:line="360" w:lineRule="auto"/>
        <w:jc w:val="both"/>
        <w:rPr>
          <w:color w:val="000000" w:themeColor="text1"/>
        </w:rPr>
      </w:pPr>
      <w:r w:rsidRPr="00421AED">
        <w:rPr>
          <w:b/>
          <w:color w:val="000000" w:themeColor="text1"/>
        </w:rPr>
        <w:t>1)</w:t>
      </w:r>
      <w:r w:rsidRPr="00421AED">
        <w:rPr>
          <w:color w:val="000000" w:themeColor="text1"/>
        </w:rPr>
        <w:t xml:space="preserve"> Да водят до постигане целта на процедурата.</w:t>
      </w:r>
    </w:p>
    <w:p w:rsidR="003F1496" w:rsidRDefault="00324BAC" w:rsidP="007C388C">
      <w:pPr>
        <w:suppressAutoHyphens/>
        <w:spacing w:before="120" w:after="120" w:line="360" w:lineRule="auto"/>
        <w:jc w:val="both"/>
        <w:rPr>
          <w:color w:val="000000" w:themeColor="text1"/>
        </w:rPr>
      </w:pPr>
      <w:r w:rsidRPr="00421AED">
        <w:rPr>
          <w:b/>
          <w:color w:val="000000" w:themeColor="text1"/>
        </w:rPr>
        <w:t>2</w:t>
      </w:r>
      <w:r w:rsidR="003F1496" w:rsidRPr="00421AED">
        <w:rPr>
          <w:b/>
          <w:color w:val="000000" w:themeColor="text1"/>
        </w:rPr>
        <w:t>)</w:t>
      </w:r>
      <w:r w:rsidR="003F1496" w:rsidRPr="00421AED">
        <w:rPr>
          <w:color w:val="000000" w:themeColor="text1"/>
        </w:rPr>
        <w:t xml:space="preserve"> Да се изпълняват само на територията на Република България.</w:t>
      </w:r>
    </w:p>
    <w:p w:rsidR="0082608D" w:rsidRPr="00421AED" w:rsidRDefault="0082608D" w:rsidP="007C388C">
      <w:pPr>
        <w:suppressAutoHyphens/>
        <w:spacing w:before="120" w:after="120" w:line="360" w:lineRule="auto"/>
        <w:jc w:val="both"/>
        <w:rPr>
          <w:color w:val="000000" w:themeColor="text1"/>
        </w:rPr>
      </w:pPr>
    </w:p>
    <w:p w:rsidR="003F1496" w:rsidRPr="00E13676" w:rsidRDefault="003F1496" w:rsidP="007C388C">
      <w:pPr>
        <w:pStyle w:val="Heading3"/>
        <w:suppressAutoHyphens/>
        <w:spacing w:before="120" w:after="120" w:line="360" w:lineRule="auto"/>
        <w:rPr>
          <w:rFonts w:ascii="Times New Roman" w:hAnsi="Times New Roman"/>
          <w:sz w:val="24"/>
          <w:szCs w:val="24"/>
        </w:rPr>
      </w:pPr>
      <w:bookmarkStart w:id="37" w:name="_Toc106285933"/>
      <w:bookmarkStart w:id="38" w:name="_Toc183440900"/>
      <w:r w:rsidRPr="00E13676">
        <w:rPr>
          <w:rFonts w:ascii="Times New Roman" w:hAnsi="Times New Roman"/>
          <w:sz w:val="24"/>
          <w:szCs w:val="24"/>
        </w:rPr>
        <w:t>1</w:t>
      </w:r>
      <w:r w:rsidR="007A3227" w:rsidRPr="00E13676">
        <w:rPr>
          <w:rFonts w:ascii="Times New Roman" w:hAnsi="Times New Roman"/>
          <w:sz w:val="24"/>
          <w:szCs w:val="24"/>
        </w:rPr>
        <w:t>3</w:t>
      </w:r>
      <w:r w:rsidRPr="00E13676">
        <w:rPr>
          <w:rFonts w:ascii="Times New Roman" w:hAnsi="Times New Roman"/>
          <w:sz w:val="24"/>
          <w:szCs w:val="24"/>
        </w:rPr>
        <w:t>.2. Недопустими дейности</w:t>
      </w:r>
      <w:bookmarkEnd w:id="37"/>
      <w:bookmarkEnd w:id="38"/>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 xml:space="preserve">Недопустими по процедурата са следните видове дейности: </w:t>
      </w:r>
    </w:p>
    <w:p w:rsidR="00F96C83" w:rsidRPr="00E13676" w:rsidRDefault="00F96C83" w:rsidP="007C388C">
      <w:pPr>
        <w:numPr>
          <w:ilvl w:val="0"/>
          <w:numId w:val="10"/>
        </w:numPr>
        <w:suppressAutoHyphens/>
        <w:spacing w:before="120" w:after="120" w:line="360" w:lineRule="auto"/>
        <w:jc w:val="both"/>
        <w:rPr>
          <w:color w:val="000000" w:themeColor="text1"/>
        </w:rPr>
      </w:pPr>
      <w:r w:rsidRPr="00E13676">
        <w:rPr>
          <w:color w:val="000000" w:themeColor="text1"/>
        </w:rPr>
        <w:t>дейности, извършени след изтичане на крайния срок за изпълнение на дейностите по</w:t>
      </w:r>
      <w:r w:rsidR="00730FA5" w:rsidRPr="00E13676">
        <w:rPr>
          <w:color w:val="000000" w:themeColor="text1"/>
        </w:rPr>
        <w:t xml:space="preserve"> </w:t>
      </w:r>
      <w:r w:rsidRPr="00E13676">
        <w:rPr>
          <w:color w:val="000000" w:themeColor="text1"/>
        </w:rPr>
        <w:t>предложението за изпълнение на инвестиция;</w:t>
      </w:r>
    </w:p>
    <w:p w:rsidR="00F96C83" w:rsidRPr="00E13676" w:rsidRDefault="00F96C83" w:rsidP="007C388C">
      <w:pPr>
        <w:numPr>
          <w:ilvl w:val="0"/>
          <w:numId w:val="10"/>
        </w:numPr>
        <w:suppressAutoHyphens/>
        <w:spacing w:before="120" w:after="120" w:line="360" w:lineRule="auto"/>
        <w:jc w:val="both"/>
        <w:rPr>
          <w:color w:val="000000" w:themeColor="text1"/>
        </w:rPr>
      </w:pPr>
      <w:r w:rsidRPr="00E13676">
        <w:rPr>
          <w:color w:val="000000" w:themeColor="text1"/>
        </w:rPr>
        <w:t>дейности, които вече са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 които водят до надхвърляне на най-високия размер или интензитет на помощта, приложим за тази помощ</w:t>
      </w:r>
      <w:bookmarkStart w:id="39" w:name="_Hlk169266512"/>
      <w:r w:rsidR="00F40221" w:rsidRPr="00E13676">
        <w:rPr>
          <w:color w:val="000000" w:themeColor="text1"/>
        </w:rPr>
        <w:t>;</w:t>
      </w:r>
      <w:bookmarkEnd w:id="39"/>
    </w:p>
    <w:p w:rsidR="00F96C83" w:rsidRPr="00E13676" w:rsidRDefault="00F96C83" w:rsidP="007C388C">
      <w:pPr>
        <w:numPr>
          <w:ilvl w:val="0"/>
          <w:numId w:val="10"/>
        </w:numPr>
        <w:suppressAutoHyphens/>
        <w:spacing w:before="120" w:after="120" w:line="360" w:lineRule="auto"/>
        <w:jc w:val="both"/>
        <w:rPr>
          <w:color w:val="000000" w:themeColor="text1"/>
        </w:rPr>
      </w:pPr>
      <w:r w:rsidRPr="00E13676">
        <w:rPr>
          <w:color w:val="000000" w:themeColor="text1"/>
        </w:rPr>
        <w:lastRenderedPageBreak/>
        <w:t>дейности, за които не са заявени разходи в бюджета на предложението за изпълнение на инвестиция;</w:t>
      </w:r>
    </w:p>
    <w:p w:rsidR="00F96C83" w:rsidRPr="00E13676" w:rsidRDefault="00A917F4" w:rsidP="007C388C">
      <w:pPr>
        <w:numPr>
          <w:ilvl w:val="0"/>
          <w:numId w:val="10"/>
        </w:numPr>
        <w:suppressAutoHyphens/>
        <w:spacing w:before="120" w:after="120" w:line="360" w:lineRule="auto"/>
        <w:jc w:val="both"/>
        <w:rPr>
          <w:color w:val="000000" w:themeColor="text1"/>
        </w:rPr>
      </w:pPr>
      <w:r>
        <w:rPr>
          <w:color w:val="000000" w:themeColor="text1"/>
        </w:rPr>
        <w:t>д</w:t>
      </w:r>
      <w:r w:rsidR="008B3D67">
        <w:rPr>
          <w:color w:val="000000" w:themeColor="text1"/>
        </w:rPr>
        <w:t xml:space="preserve">ейности в противоречие с принципа </w:t>
      </w:r>
      <w:r w:rsidR="00F96C83" w:rsidRPr="00E13676">
        <w:rPr>
          <w:color w:val="000000" w:themeColor="text1"/>
        </w:rPr>
        <w:t xml:space="preserve">за </w:t>
      </w:r>
      <w:r w:rsidR="00675545">
        <w:rPr>
          <w:color w:val="000000" w:themeColor="text1"/>
        </w:rPr>
        <w:t>„</w:t>
      </w:r>
      <w:r w:rsidR="00F96C83" w:rsidRPr="00E13676">
        <w:rPr>
          <w:color w:val="000000" w:themeColor="text1"/>
        </w:rPr>
        <w:t>ненанасяне на значителни вреди</w:t>
      </w:r>
      <w:r w:rsidR="00675545">
        <w:rPr>
          <w:color w:val="000000" w:themeColor="text1"/>
        </w:rPr>
        <w:t>“</w:t>
      </w:r>
      <w:r>
        <w:rPr>
          <w:color w:val="000000" w:themeColor="text1"/>
        </w:rPr>
        <w:t>;</w:t>
      </w:r>
      <w:r w:rsidR="00F96C83" w:rsidRPr="00E13676">
        <w:rPr>
          <w:color w:val="000000" w:themeColor="text1"/>
        </w:rPr>
        <w:t xml:space="preserve"> </w:t>
      </w:r>
    </w:p>
    <w:p w:rsidR="00F96C83" w:rsidRPr="00E13676" w:rsidRDefault="00F96C83" w:rsidP="007C388C">
      <w:pPr>
        <w:numPr>
          <w:ilvl w:val="0"/>
          <w:numId w:val="10"/>
        </w:numPr>
        <w:suppressAutoHyphens/>
        <w:spacing w:before="120" w:after="120" w:line="360" w:lineRule="auto"/>
        <w:jc w:val="both"/>
        <w:rPr>
          <w:color w:val="000000" w:themeColor="text1"/>
        </w:rPr>
      </w:pPr>
      <w:r w:rsidRPr="00E13676">
        <w:rPr>
          <w:color w:val="000000" w:themeColor="text1"/>
        </w:rPr>
        <w:t>дейности, които не съблюдават съответното законодателство на ЕС и национално законодателство;</w:t>
      </w:r>
    </w:p>
    <w:p w:rsidR="00F96C83" w:rsidRPr="00E13676" w:rsidRDefault="00F96C83" w:rsidP="007C388C">
      <w:pPr>
        <w:numPr>
          <w:ilvl w:val="0"/>
          <w:numId w:val="10"/>
        </w:numPr>
        <w:suppressAutoHyphens/>
        <w:spacing w:before="120" w:after="120" w:line="360" w:lineRule="auto"/>
        <w:jc w:val="both"/>
        <w:rPr>
          <w:color w:val="000000" w:themeColor="text1"/>
        </w:rPr>
      </w:pPr>
      <w:r w:rsidRPr="00E13676">
        <w:rPr>
          <w:color w:val="000000" w:themeColor="text1"/>
        </w:rPr>
        <w:t>дейности за закупуване на активи втора употреба;</w:t>
      </w:r>
    </w:p>
    <w:p w:rsidR="00F96C83" w:rsidRPr="00E13676" w:rsidRDefault="00F96C83" w:rsidP="007C388C">
      <w:pPr>
        <w:numPr>
          <w:ilvl w:val="0"/>
          <w:numId w:val="10"/>
        </w:numPr>
        <w:suppressAutoHyphens/>
        <w:spacing w:before="120" w:after="120" w:line="360" w:lineRule="auto"/>
        <w:jc w:val="both"/>
        <w:rPr>
          <w:color w:val="000000" w:themeColor="text1"/>
        </w:rPr>
      </w:pPr>
      <w:r w:rsidRPr="00E13676">
        <w:rPr>
          <w:color w:val="000000" w:themeColor="text1"/>
        </w:rPr>
        <w:t>закупуване на земя и сгради;</w:t>
      </w:r>
    </w:p>
    <w:p w:rsidR="00F96C83" w:rsidRPr="00E13676" w:rsidRDefault="00F96C83" w:rsidP="007C388C">
      <w:pPr>
        <w:numPr>
          <w:ilvl w:val="0"/>
          <w:numId w:val="10"/>
        </w:numPr>
        <w:suppressAutoHyphens/>
        <w:spacing w:before="120" w:after="120" w:line="360" w:lineRule="auto"/>
        <w:jc w:val="both"/>
        <w:rPr>
          <w:color w:val="000000" w:themeColor="text1"/>
        </w:rPr>
      </w:pPr>
      <w:r w:rsidRPr="00E13676">
        <w:rPr>
          <w:color w:val="000000" w:themeColor="text1"/>
        </w:rPr>
        <w:t>дейности, които не са пряко свързани с постигането на по-високото равнище на опазване на околната среда;</w:t>
      </w:r>
    </w:p>
    <w:p w:rsidR="003F1496" w:rsidRDefault="00F96C83" w:rsidP="007C388C">
      <w:pPr>
        <w:numPr>
          <w:ilvl w:val="0"/>
          <w:numId w:val="10"/>
        </w:numPr>
        <w:suppressAutoHyphens/>
        <w:spacing w:before="120" w:after="120" w:line="360" w:lineRule="auto"/>
        <w:jc w:val="both"/>
        <w:rPr>
          <w:color w:val="000000" w:themeColor="text1"/>
        </w:rPr>
      </w:pPr>
      <w:r w:rsidRPr="00E13676">
        <w:rPr>
          <w:color w:val="000000" w:themeColor="text1"/>
        </w:rPr>
        <w:t>всички други дейности, които не са сред посочените като допустими в настоящите Условия за кандидатстване.</w:t>
      </w:r>
    </w:p>
    <w:p w:rsidR="0082608D" w:rsidRPr="00E13676" w:rsidRDefault="0082608D" w:rsidP="007C388C">
      <w:pPr>
        <w:suppressAutoHyphens/>
        <w:spacing w:before="120" w:after="120" w:line="360" w:lineRule="auto"/>
        <w:ind w:left="720"/>
        <w:jc w:val="both"/>
        <w:rPr>
          <w:color w:val="000000" w:themeColor="text1"/>
        </w:rPr>
      </w:pPr>
    </w:p>
    <w:p w:rsidR="003F1496" w:rsidRPr="00E13676" w:rsidRDefault="003F1496" w:rsidP="007C388C">
      <w:pPr>
        <w:pStyle w:val="Heading2"/>
        <w:suppressAutoHyphens/>
        <w:spacing w:after="120" w:line="360" w:lineRule="auto"/>
        <w:rPr>
          <w:rFonts w:ascii="Times New Roman" w:hAnsi="Times New Roman"/>
          <w:sz w:val="24"/>
          <w:szCs w:val="24"/>
        </w:rPr>
      </w:pPr>
      <w:bookmarkStart w:id="40" w:name="_Toc106285934"/>
      <w:bookmarkStart w:id="41" w:name="_Toc183440901"/>
      <w:r w:rsidRPr="00E13676">
        <w:rPr>
          <w:rFonts w:ascii="Times New Roman" w:hAnsi="Times New Roman"/>
          <w:sz w:val="24"/>
          <w:szCs w:val="24"/>
        </w:rPr>
        <w:t>1</w:t>
      </w:r>
      <w:r w:rsidR="007A3227" w:rsidRPr="00E13676">
        <w:rPr>
          <w:rFonts w:ascii="Times New Roman" w:hAnsi="Times New Roman"/>
          <w:sz w:val="24"/>
          <w:szCs w:val="24"/>
        </w:rPr>
        <w:t>4</w:t>
      </w:r>
      <w:r w:rsidRPr="00E13676">
        <w:rPr>
          <w:rFonts w:ascii="Times New Roman" w:hAnsi="Times New Roman"/>
          <w:sz w:val="24"/>
          <w:szCs w:val="24"/>
        </w:rPr>
        <w:t>. Категории разходи, допустими за финансиране:</w:t>
      </w:r>
      <w:bookmarkEnd w:id="40"/>
      <w:bookmarkEnd w:id="41"/>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 xml:space="preserve">При предоставяне на безвъзмездно финансиране по настоящата процедура ще бъдат взети под внимание само </w:t>
      </w:r>
      <w:r w:rsidR="00862B4F">
        <w:rPr>
          <w:color w:val="000000" w:themeColor="text1"/>
        </w:rPr>
        <w:t>„</w:t>
      </w:r>
      <w:r w:rsidRPr="00E13676">
        <w:rPr>
          <w:color w:val="000000" w:themeColor="text1"/>
        </w:rPr>
        <w:t>допустимите разходи</w:t>
      </w:r>
      <w:r w:rsidR="00862B4F">
        <w:rPr>
          <w:color w:val="000000" w:themeColor="text1"/>
        </w:rPr>
        <w:t>“</w:t>
      </w:r>
      <w:r w:rsidRPr="00E13676">
        <w:rPr>
          <w:color w:val="000000" w:themeColor="text1"/>
        </w:rPr>
        <w:t xml:space="preserve">, детайлно описани по-долу. Бюджетът представлява предварителна оценка на очакваните разходи и максимален размер на допустимите разходи. </w:t>
      </w:r>
    </w:p>
    <w:p w:rsidR="003F1496" w:rsidRPr="00E13676" w:rsidRDefault="003F1496" w:rsidP="007C388C">
      <w:pPr>
        <w:suppressAutoHyphens/>
        <w:spacing w:before="120" w:after="120" w:line="360" w:lineRule="auto"/>
        <w:jc w:val="both"/>
        <w:rPr>
          <w:color w:val="000000" w:themeColor="text1"/>
        </w:rPr>
      </w:pPr>
      <w:r w:rsidRPr="00E13676">
        <w:rPr>
          <w:color w:val="000000" w:themeColor="text1"/>
        </w:rPr>
        <w:t xml:space="preserve">По време на оценката на предложенията за изпълнение на инвестиция е възможно да бъдат установени обстоятелства, които да налагат промяна в бюджета. Възможните изменения на бюджета </w:t>
      </w:r>
      <w:r w:rsidRPr="00E13676">
        <w:rPr>
          <w:b/>
          <w:color w:val="000000" w:themeColor="text1"/>
        </w:rPr>
        <w:t>не могат</w:t>
      </w:r>
      <w:r w:rsidRPr="00E13676">
        <w:rPr>
          <w:color w:val="000000" w:themeColor="text1"/>
        </w:rPr>
        <w:t xml:space="preserve"> да доведат до увеличаване на сумата на исканото </w:t>
      </w:r>
      <w:r w:rsidR="00B83A4B">
        <w:rPr>
          <w:color w:val="000000" w:themeColor="text1"/>
        </w:rPr>
        <w:t>ф</w:t>
      </w:r>
      <w:r w:rsidRPr="00E13676">
        <w:rPr>
          <w:color w:val="000000" w:themeColor="text1"/>
        </w:rPr>
        <w:t>инансиране по настоящата процедура.</w:t>
      </w:r>
    </w:p>
    <w:p w:rsidR="003F1496" w:rsidRPr="00E13676" w:rsidRDefault="003F1496"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b/>
          <w:color w:val="000000" w:themeColor="text1"/>
        </w:rPr>
      </w:pPr>
      <w:r w:rsidRPr="00E13676">
        <w:rPr>
          <w:b/>
          <w:color w:val="000000" w:themeColor="text1"/>
        </w:rPr>
        <w:lastRenderedPageBreak/>
        <w:t>ВАЖНО:</w:t>
      </w:r>
      <w:r w:rsidRPr="00E13676">
        <w:rPr>
          <w:color w:val="000000" w:themeColor="text1"/>
        </w:rPr>
        <w:t xml:space="preserve"> </w:t>
      </w:r>
      <w:r w:rsidR="00A92E00" w:rsidRPr="00E13676">
        <w:rPr>
          <w:color w:val="000000" w:themeColor="text1"/>
        </w:rPr>
        <w:t>Предоставянето на средства по Механизма не може да има за цел или резултат реализирането на печалба по смисъла на чл. 192, т. 2 от Регламент (</w:t>
      </w:r>
      <w:r w:rsidR="00C7153F">
        <w:rPr>
          <w:color w:val="000000" w:themeColor="text1"/>
        </w:rPr>
        <w:t>ЕС</w:t>
      </w:r>
      <w:r w:rsidR="00A92E00" w:rsidRPr="00E13676">
        <w:rPr>
          <w:color w:val="000000" w:themeColor="text1"/>
        </w:rPr>
        <w:t>) 2018/1046</w:t>
      </w:r>
      <w:r w:rsidRPr="00E13676">
        <w:rPr>
          <w:rStyle w:val="FootnoteReference"/>
          <w:color w:val="000000" w:themeColor="text1"/>
        </w:rPr>
        <w:footnoteReference w:id="5"/>
      </w:r>
      <w:r w:rsidRPr="00E13676">
        <w:rPr>
          <w:color w:val="000000" w:themeColor="text1"/>
        </w:rPr>
        <w:t>.</w:t>
      </w:r>
    </w:p>
    <w:p w:rsidR="003F1496" w:rsidRPr="00E13676" w:rsidRDefault="003F1496" w:rsidP="007C388C">
      <w:pPr>
        <w:pStyle w:val="Heading3"/>
        <w:suppressAutoHyphens/>
        <w:spacing w:before="120" w:after="120" w:line="360" w:lineRule="auto"/>
        <w:rPr>
          <w:rFonts w:ascii="Times New Roman" w:hAnsi="Times New Roman"/>
          <w:sz w:val="24"/>
          <w:szCs w:val="24"/>
        </w:rPr>
      </w:pPr>
      <w:bookmarkStart w:id="42" w:name="_Toc106285935"/>
      <w:bookmarkStart w:id="43" w:name="_Toc183440902"/>
      <w:r w:rsidRPr="00E13676">
        <w:rPr>
          <w:rFonts w:ascii="Times New Roman" w:hAnsi="Times New Roman"/>
          <w:sz w:val="24"/>
          <w:szCs w:val="24"/>
        </w:rPr>
        <w:t>1</w:t>
      </w:r>
      <w:r w:rsidR="007A3227" w:rsidRPr="00E13676">
        <w:rPr>
          <w:rFonts w:ascii="Times New Roman" w:hAnsi="Times New Roman"/>
          <w:sz w:val="24"/>
          <w:szCs w:val="24"/>
        </w:rPr>
        <w:t>4</w:t>
      </w:r>
      <w:r w:rsidRPr="00E13676">
        <w:rPr>
          <w:rFonts w:ascii="Times New Roman" w:hAnsi="Times New Roman"/>
          <w:sz w:val="24"/>
          <w:szCs w:val="24"/>
        </w:rPr>
        <w:t>.1. Условия за допустимост на разходите</w:t>
      </w:r>
      <w:bookmarkEnd w:id="42"/>
      <w:bookmarkEnd w:id="43"/>
    </w:p>
    <w:p w:rsidR="003F1496" w:rsidRPr="00E13676" w:rsidRDefault="003F1496" w:rsidP="007C388C">
      <w:pPr>
        <w:suppressAutoHyphens/>
        <w:spacing w:line="360" w:lineRule="auto"/>
        <w:jc w:val="both"/>
        <w:rPr>
          <w:color w:val="000000" w:themeColor="text1"/>
        </w:rPr>
      </w:pPr>
      <w:r w:rsidRPr="00E13676">
        <w:rPr>
          <w:color w:val="000000" w:themeColor="text1"/>
        </w:rPr>
        <w:t>За да бъдат допустими разходите по настоящата процедура за предоставяне на средства трябва да отговарят на следните условия:</w:t>
      </w:r>
    </w:p>
    <w:p w:rsidR="003F1496" w:rsidRPr="00E13676" w:rsidRDefault="003F1496" w:rsidP="007C388C">
      <w:pPr>
        <w:suppressAutoHyphens/>
        <w:spacing w:line="360" w:lineRule="auto"/>
        <w:jc w:val="both"/>
        <w:rPr>
          <w:color w:val="000000" w:themeColor="text1"/>
        </w:rPr>
      </w:pPr>
      <w:r w:rsidRPr="00E13676">
        <w:rPr>
          <w:b/>
          <w:color w:val="000000" w:themeColor="text1"/>
        </w:rPr>
        <w:t>1)</w:t>
      </w:r>
      <w:r w:rsidRPr="00E13676">
        <w:rPr>
          <w:color w:val="000000" w:themeColor="text1"/>
        </w:rPr>
        <w:t xml:space="preserve"> Да са необходими за изпълнението на предложението за изпълнение на инвестиция и да са приемливи, обосновани и да отговарят на принципа на добро финансово управление, по-специално от гледна точка на икономичността и ефикасността. </w:t>
      </w:r>
    </w:p>
    <w:p w:rsidR="003F1496" w:rsidRPr="00E13676" w:rsidRDefault="003F1496" w:rsidP="007C388C">
      <w:pPr>
        <w:suppressAutoHyphens/>
        <w:spacing w:line="360" w:lineRule="auto"/>
        <w:jc w:val="both"/>
        <w:rPr>
          <w:color w:val="000000" w:themeColor="text1"/>
        </w:rPr>
      </w:pPr>
      <w:r w:rsidRPr="00E13676">
        <w:rPr>
          <w:b/>
          <w:color w:val="000000" w:themeColor="text1"/>
        </w:rPr>
        <w:t xml:space="preserve">2) </w:t>
      </w:r>
      <w:r w:rsidR="00F96D83" w:rsidRPr="00E13676">
        <w:rPr>
          <w:color w:val="000000" w:themeColor="text1"/>
        </w:rPr>
        <w:t xml:space="preserve">Да бъдат извършени </w:t>
      </w:r>
      <w:r w:rsidR="00F97BAD">
        <w:rPr>
          <w:color w:val="000000" w:themeColor="text1"/>
        </w:rPr>
        <w:t>в</w:t>
      </w:r>
      <w:r w:rsidR="00F96D83" w:rsidRPr="00E13676">
        <w:rPr>
          <w:color w:val="000000" w:themeColor="text1"/>
        </w:rPr>
        <w:t xml:space="preserve"> срок, но не по-късно </w:t>
      </w:r>
      <w:r w:rsidR="00A917F4">
        <w:t xml:space="preserve">30 юни </w:t>
      </w:r>
      <w:r w:rsidR="00F96D83" w:rsidRPr="00E13676">
        <w:rPr>
          <w:color w:val="000000" w:themeColor="text1"/>
        </w:rPr>
        <w:t>2026 г</w:t>
      </w:r>
      <w:r w:rsidRPr="00E13676">
        <w:rPr>
          <w:color w:val="000000" w:themeColor="text1"/>
        </w:rPr>
        <w:t>.</w:t>
      </w:r>
    </w:p>
    <w:p w:rsidR="003F1496" w:rsidRPr="00E13676" w:rsidRDefault="003F1496" w:rsidP="007C388C">
      <w:pPr>
        <w:suppressAutoHyphens/>
        <w:spacing w:line="360" w:lineRule="auto"/>
        <w:jc w:val="both"/>
        <w:rPr>
          <w:color w:val="000000" w:themeColor="text1"/>
        </w:rPr>
      </w:pPr>
      <w:r w:rsidRPr="00E13676">
        <w:rPr>
          <w:color w:val="000000" w:themeColor="text1"/>
        </w:rPr>
        <w:t xml:space="preserve">Разходооправдателните документи следва да бъдат издадени </w:t>
      </w:r>
      <w:r w:rsidR="0006759A">
        <w:rPr>
          <w:color w:val="000000" w:themeColor="text1"/>
        </w:rPr>
        <w:t xml:space="preserve">след </w:t>
      </w:r>
      <w:r w:rsidR="00C0109A">
        <w:rPr>
          <w:color w:val="000000" w:themeColor="text1"/>
        </w:rPr>
        <w:t>7</w:t>
      </w:r>
      <w:r w:rsidR="0006759A">
        <w:rPr>
          <w:color w:val="000000" w:themeColor="text1"/>
        </w:rPr>
        <w:t xml:space="preserve"> април 2022 г. (</w:t>
      </w:r>
      <w:r w:rsidR="00C0109A">
        <w:rPr>
          <w:color w:val="000000" w:themeColor="text1"/>
        </w:rPr>
        <w:t xml:space="preserve">на основание </w:t>
      </w:r>
      <w:r w:rsidR="00C0109A" w:rsidRPr="00C0109A">
        <w:rPr>
          <w:color w:val="000000" w:themeColor="text1"/>
        </w:rPr>
        <w:t xml:space="preserve">Решение № </w:t>
      </w:r>
      <w:r w:rsidR="009E2CD9">
        <w:rPr>
          <w:color w:val="000000" w:themeColor="text1"/>
        </w:rPr>
        <w:t xml:space="preserve">203 на Министерския съвет от </w:t>
      </w:r>
      <w:r w:rsidR="00C0109A">
        <w:rPr>
          <w:color w:val="000000" w:themeColor="text1"/>
        </w:rPr>
        <w:t xml:space="preserve">7 април </w:t>
      </w:r>
      <w:r w:rsidR="00C0109A" w:rsidRPr="00C0109A">
        <w:rPr>
          <w:color w:val="000000" w:themeColor="text1"/>
        </w:rPr>
        <w:t xml:space="preserve">2022 г. </w:t>
      </w:r>
      <w:r w:rsidR="00C0109A">
        <w:rPr>
          <w:color w:val="000000" w:themeColor="text1"/>
        </w:rPr>
        <w:t xml:space="preserve">за приемане на </w:t>
      </w:r>
      <w:r w:rsidR="00C0109A" w:rsidRPr="00C0109A">
        <w:rPr>
          <w:color w:val="000000" w:themeColor="text1"/>
        </w:rPr>
        <w:t>Националния план за възстановяване и устойчивост на Република България (</w:t>
      </w:r>
      <w:r w:rsidR="00C0109A">
        <w:rPr>
          <w:color w:val="000000" w:themeColor="text1"/>
        </w:rPr>
        <w:t>Н</w:t>
      </w:r>
      <w:r w:rsidR="00C0109A" w:rsidRPr="00C0109A">
        <w:rPr>
          <w:color w:val="000000" w:themeColor="text1"/>
        </w:rPr>
        <w:t>ПВУ)</w:t>
      </w:r>
      <w:r w:rsidR="00C0109A">
        <w:rPr>
          <w:color w:val="000000" w:themeColor="text1"/>
        </w:rPr>
        <w:t xml:space="preserve"> </w:t>
      </w:r>
      <w:r w:rsidR="00C0109A" w:rsidRPr="00C0109A">
        <w:rPr>
          <w:color w:val="000000" w:themeColor="text1"/>
        </w:rPr>
        <w:t>и Реше</w:t>
      </w:r>
      <w:r w:rsidR="009E2CD9">
        <w:rPr>
          <w:color w:val="000000" w:themeColor="text1"/>
        </w:rPr>
        <w:t xml:space="preserve">ние за изпълнение на Съвета от </w:t>
      </w:r>
      <w:r w:rsidR="00C0109A" w:rsidRPr="00C0109A">
        <w:rPr>
          <w:color w:val="000000" w:themeColor="text1"/>
        </w:rPr>
        <w:t>4</w:t>
      </w:r>
      <w:r w:rsidR="00C0109A">
        <w:rPr>
          <w:color w:val="000000" w:themeColor="text1"/>
        </w:rPr>
        <w:t xml:space="preserve"> май </w:t>
      </w:r>
      <w:r w:rsidR="00C0109A" w:rsidRPr="00C0109A">
        <w:rPr>
          <w:color w:val="000000" w:themeColor="text1"/>
        </w:rPr>
        <w:t>2022 г. за одобряване на оценката на Плана за възстановяване и устойчивост на България (ST 8091 2022 INIT) и Приложение към Решение за изпълнение на Съвета за одобряване на оценката на плана за възстановяване и устойчивост на Бълга</w:t>
      </w:r>
      <w:r w:rsidR="00C0109A">
        <w:rPr>
          <w:color w:val="000000" w:themeColor="text1"/>
        </w:rPr>
        <w:t>рия (ST 8091 2022 ADD 1 - NOTE)</w:t>
      </w:r>
      <w:r w:rsidR="0006759A">
        <w:rPr>
          <w:color w:val="000000" w:themeColor="text1"/>
        </w:rPr>
        <w:t xml:space="preserve"> и процедурите са</w:t>
      </w:r>
      <w:r w:rsidR="0022485B">
        <w:rPr>
          <w:color w:val="000000" w:themeColor="text1"/>
        </w:rPr>
        <w:t xml:space="preserve"> проведени в съответствие ПМС № 80 от 9 май 2022 г.</w:t>
      </w:r>
      <w:r w:rsidR="0006759A">
        <w:rPr>
          <w:color w:val="000000" w:themeColor="text1"/>
        </w:rPr>
        <w:t>, като СНД ще извърши съответните проверки.</w:t>
      </w:r>
      <w:r w:rsidRPr="00E13676">
        <w:rPr>
          <w:color w:val="000000" w:themeColor="text1"/>
        </w:rPr>
        <w:t xml:space="preserve"> </w:t>
      </w:r>
      <w:bookmarkStart w:id="44" w:name="_GoBack"/>
      <w:r w:rsidR="00E318DB">
        <w:rPr>
          <w:color w:val="000000" w:themeColor="text1"/>
        </w:rPr>
        <w:t>Всички разходооправдателни документи, о</w:t>
      </w:r>
      <w:r w:rsidR="00E57BA3">
        <w:rPr>
          <w:color w:val="000000" w:themeColor="text1"/>
        </w:rPr>
        <w:t>тнасящи се до разходи</w:t>
      </w:r>
      <w:r w:rsidR="00E318DB">
        <w:rPr>
          <w:color w:val="000000" w:themeColor="text1"/>
        </w:rPr>
        <w:t xml:space="preserve"> извършени след 7 април 2022 г. до датата на сключване на договора, следва да се представят на СНД за одобрение в срок от 5 работни дни от датата на договора.</w:t>
      </w:r>
      <w:bookmarkEnd w:id="44"/>
    </w:p>
    <w:p w:rsidR="003F1496" w:rsidRPr="00E13676" w:rsidRDefault="003F1496" w:rsidP="007C388C">
      <w:pPr>
        <w:suppressAutoHyphens/>
        <w:spacing w:line="360" w:lineRule="auto"/>
        <w:jc w:val="both"/>
        <w:rPr>
          <w:color w:val="000000" w:themeColor="text1"/>
        </w:rPr>
      </w:pPr>
      <w:r w:rsidRPr="00E13676">
        <w:rPr>
          <w:b/>
          <w:color w:val="000000" w:themeColor="text1"/>
        </w:rPr>
        <w:t xml:space="preserve">3) </w:t>
      </w:r>
      <w:r w:rsidRPr="00E13676">
        <w:rPr>
          <w:color w:val="000000" w:themeColor="text1"/>
        </w:rPr>
        <w:t>Да са в съответствие с видовете разходи, включени в договора за финансиране с крайния получател.</w:t>
      </w:r>
    </w:p>
    <w:p w:rsidR="003F1496" w:rsidRPr="00E13676" w:rsidRDefault="003F1496" w:rsidP="007C388C">
      <w:pPr>
        <w:suppressAutoHyphens/>
        <w:spacing w:line="360" w:lineRule="auto"/>
        <w:jc w:val="both"/>
        <w:rPr>
          <w:b/>
          <w:i/>
          <w:color w:val="000000" w:themeColor="text1"/>
        </w:rPr>
      </w:pPr>
      <w:r w:rsidRPr="00E13676">
        <w:rPr>
          <w:b/>
          <w:color w:val="000000" w:themeColor="text1"/>
        </w:rPr>
        <w:t>4)</w:t>
      </w:r>
      <w:r w:rsidRPr="00E13676">
        <w:rPr>
          <w:color w:val="000000" w:themeColor="text1"/>
        </w:rPr>
        <w:t xml:space="preserve"> Да са действително платени от страна на крайния получател (т.е. да е платена цялата стойност на представените фактури или други първични счетоводни документи, </w:t>
      </w:r>
      <w:r w:rsidRPr="00E13676">
        <w:rPr>
          <w:color w:val="000000" w:themeColor="text1"/>
        </w:rPr>
        <w:lastRenderedPageBreak/>
        <w:t xml:space="preserve">включително стойността на ДДС), по банков път, </w:t>
      </w:r>
      <w:r w:rsidR="005B3926" w:rsidRPr="00E13676">
        <w:t xml:space="preserve">до определения в представения план за изпълнение на предложението срок, но не по-късно </w:t>
      </w:r>
      <w:r w:rsidR="00BF3CED">
        <w:t xml:space="preserve">30 юни </w:t>
      </w:r>
      <w:r w:rsidR="00BF3CED">
        <w:rPr>
          <w:color w:val="000000" w:themeColor="text1"/>
        </w:rPr>
        <w:t xml:space="preserve">2026 </w:t>
      </w:r>
      <w:r w:rsidR="00BF3CED" w:rsidRPr="00E13676">
        <w:rPr>
          <w:color w:val="000000" w:themeColor="text1"/>
        </w:rPr>
        <w:t>г.</w:t>
      </w:r>
      <w:r w:rsidRPr="00E13676">
        <w:rPr>
          <w:color w:val="000000" w:themeColor="text1"/>
        </w:rPr>
        <w:t xml:space="preserve"> </w:t>
      </w:r>
    </w:p>
    <w:p w:rsidR="005B3926" w:rsidRPr="00E13676" w:rsidRDefault="003F1496" w:rsidP="007C388C">
      <w:pPr>
        <w:suppressAutoHyphens/>
        <w:spacing w:line="360" w:lineRule="auto"/>
        <w:jc w:val="both"/>
        <w:rPr>
          <w:color w:val="000000" w:themeColor="text1"/>
        </w:rPr>
      </w:pPr>
      <w:r w:rsidRPr="00E13676">
        <w:rPr>
          <w:b/>
          <w:color w:val="000000" w:themeColor="text1"/>
        </w:rPr>
        <w:t>5)</w:t>
      </w:r>
      <w:r w:rsidRPr="00E13676">
        <w:rPr>
          <w:color w:val="000000" w:themeColor="text1"/>
        </w:rPr>
        <w:t xml:space="preserve"> Да са отразени в счетоводната документация на крайния получател чрез отделни счетоводни аналитични сметки, съдържащи № на договор за финансиране или в отделна счетоводна система с утвърдени сметки за отчитане на разходи по договора за финансиране.</w:t>
      </w:r>
    </w:p>
    <w:p w:rsidR="003F1496" w:rsidRPr="00E13676" w:rsidRDefault="003F1496" w:rsidP="007C388C">
      <w:pPr>
        <w:suppressAutoHyphens/>
        <w:spacing w:before="120" w:after="120" w:line="360" w:lineRule="auto"/>
        <w:jc w:val="both"/>
        <w:rPr>
          <w:color w:val="000000" w:themeColor="text1"/>
        </w:rPr>
      </w:pPr>
      <w:r w:rsidRPr="00E13676">
        <w:rPr>
          <w:b/>
          <w:color w:val="000000" w:themeColor="text1"/>
        </w:rPr>
        <w:t>6)</w:t>
      </w:r>
      <w:r w:rsidRPr="00E13676">
        <w:rPr>
          <w:color w:val="000000" w:themeColor="text1"/>
        </w:rPr>
        <w:t xml:space="preserve"> Да могат да се установят и проверят, да бъдат подкрепени от оригинални разходоо</w:t>
      </w:r>
      <w:r w:rsidR="00D2454A" w:rsidRPr="00E13676">
        <w:rPr>
          <w:color w:val="000000" w:themeColor="text1"/>
        </w:rPr>
        <w:t>п</w:t>
      </w:r>
      <w:r w:rsidRPr="00E13676">
        <w:rPr>
          <w:color w:val="000000" w:themeColor="text1"/>
        </w:rPr>
        <w:t>равдателни документи.</w:t>
      </w:r>
    </w:p>
    <w:p w:rsidR="003F1496" w:rsidRPr="00E13676" w:rsidRDefault="003F1496" w:rsidP="007C388C">
      <w:pPr>
        <w:suppressAutoHyphens/>
        <w:spacing w:before="120" w:after="120" w:line="360" w:lineRule="auto"/>
        <w:jc w:val="both"/>
        <w:rPr>
          <w:color w:val="000000" w:themeColor="text1"/>
        </w:rPr>
      </w:pPr>
      <w:r w:rsidRPr="00E13676">
        <w:rPr>
          <w:b/>
          <w:color w:val="000000" w:themeColor="text1"/>
        </w:rPr>
        <w:t>7)</w:t>
      </w:r>
      <w:r w:rsidRPr="00E13676">
        <w:rPr>
          <w:color w:val="000000" w:themeColor="text1"/>
        </w:rPr>
        <w:t xml:space="preserve"> </w:t>
      </w:r>
      <w:r w:rsidR="00D2454A" w:rsidRPr="00E13676">
        <w:rPr>
          <w:color w:val="000000" w:themeColor="text1"/>
        </w:rPr>
        <w:t>Да са за реално извършени услуги и доставени активи, необходими за изграждането</w:t>
      </w:r>
      <w:r w:rsidR="00BF3CED">
        <w:rPr>
          <w:color w:val="000000" w:themeColor="text1"/>
        </w:rPr>
        <w:t xml:space="preserve"> или надграждането</w:t>
      </w:r>
      <w:r w:rsidR="00D2454A" w:rsidRPr="00E13676">
        <w:rPr>
          <w:color w:val="000000" w:themeColor="text1"/>
        </w:rPr>
        <w:t xml:space="preserve"> </w:t>
      </w:r>
      <w:r w:rsidR="00BF3CED">
        <w:rPr>
          <w:color w:val="000000" w:themeColor="text1"/>
        </w:rPr>
        <w:t>на ММГК</w:t>
      </w:r>
      <w:r w:rsidRPr="00E13676">
        <w:rPr>
          <w:color w:val="000000" w:themeColor="text1"/>
        </w:rPr>
        <w:t>.</w:t>
      </w:r>
    </w:p>
    <w:p w:rsidR="00EF0009" w:rsidRPr="00E13676" w:rsidRDefault="00EF0009" w:rsidP="007C388C">
      <w:pPr>
        <w:suppressAutoHyphens/>
        <w:spacing w:before="120" w:after="120" w:line="360" w:lineRule="auto"/>
        <w:jc w:val="both"/>
        <w:rPr>
          <w:color w:val="000000" w:themeColor="text1"/>
        </w:rPr>
      </w:pPr>
      <w:r w:rsidRPr="00E13676">
        <w:rPr>
          <w:color w:val="000000" w:themeColor="text1"/>
        </w:rPr>
        <w:t xml:space="preserve">Бюджетът във Формуляра за кандидатстване трябва да отразява допустимите разходи, които са свързани с изпълнението на предложението за изпълнение на инвестиция. </w:t>
      </w:r>
    </w:p>
    <w:p w:rsidR="00EF0009" w:rsidRPr="00E13676" w:rsidRDefault="00EF0009" w:rsidP="007C388C">
      <w:pPr>
        <w:suppressAutoHyphens/>
        <w:spacing w:before="120" w:after="120" w:line="360" w:lineRule="auto"/>
        <w:jc w:val="both"/>
        <w:rPr>
          <w:color w:val="000000" w:themeColor="text1"/>
        </w:rPr>
      </w:pPr>
      <w:r w:rsidRPr="00E13676">
        <w:rPr>
          <w:color w:val="000000" w:themeColor="text1"/>
        </w:rPr>
        <w:t>По настоящата процедура са недопустими разходите за възстановим ДДС във връзка с реализирането на предложението за изпълнение на инвестиция.</w:t>
      </w:r>
    </w:p>
    <w:p w:rsidR="003F1496" w:rsidRDefault="00EF0009" w:rsidP="007C388C">
      <w:pPr>
        <w:suppressAutoHyphens/>
        <w:spacing w:before="120" w:after="120" w:line="360" w:lineRule="auto"/>
        <w:jc w:val="both"/>
        <w:rPr>
          <w:color w:val="000000" w:themeColor="text1"/>
        </w:rPr>
      </w:pPr>
      <w:r w:rsidRPr="00E13676">
        <w:rPr>
          <w:color w:val="000000" w:themeColor="text1"/>
        </w:rPr>
        <w:t>Относно третирането на ДДС кандидатите следва да се запознаят с чл. 186, параграф 4, буква в) от Финансовия регламент 1046/2018 и Указание на министъра на финансите ДНФ № 3/23.12.2016 г.</w:t>
      </w:r>
    </w:p>
    <w:p w:rsidR="00EA718F" w:rsidRPr="001A576F" w:rsidRDefault="00EA718F" w:rsidP="007C388C">
      <w:pPr>
        <w:suppressAutoHyphens/>
        <w:spacing w:before="120" w:after="120" w:line="360" w:lineRule="auto"/>
        <w:jc w:val="both"/>
        <w:rPr>
          <w:lang w:val="en-US"/>
        </w:rPr>
      </w:pPr>
    </w:p>
    <w:p w:rsidR="00594B5D" w:rsidRPr="0082608D" w:rsidRDefault="003F1496" w:rsidP="007C388C">
      <w:pPr>
        <w:pStyle w:val="Heading3"/>
        <w:keepNext/>
        <w:suppressAutoHyphens/>
        <w:spacing w:before="120" w:after="120" w:line="360" w:lineRule="auto"/>
        <w:rPr>
          <w:rFonts w:ascii="Times New Roman" w:hAnsi="Times New Roman"/>
          <w:sz w:val="24"/>
          <w:szCs w:val="24"/>
        </w:rPr>
      </w:pPr>
      <w:bookmarkStart w:id="45" w:name="_Toc106285936"/>
      <w:bookmarkStart w:id="46" w:name="_Toc183440903"/>
      <w:r w:rsidRPr="00E13676">
        <w:rPr>
          <w:rFonts w:ascii="Times New Roman" w:hAnsi="Times New Roman"/>
          <w:sz w:val="24"/>
          <w:szCs w:val="24"/>
        </w:rPr>
        <w:t>1</w:t>
      </w:r>
      <w:r w:rsidR="007A3227" w:rsidRPr="00E13676">
        <w:rPr>
          <w:rFonts w:ascii="Times New Roman" w:hAnsi="Times New Roman"/>
          <w:sz w:val="24"/>
          <w:szCs w:val="24"/>
        </w:rPr>
        <w:t>4</w:t>
      </w:r>
      <w:r w:rsidRPr="00E13676">
        <w:rPr>
          <w:rFonts w:ascii="Times New Roman" w:hAnsi="Times New Roman"/>
          <w:sz w:val="24"/>
          <w:szCs w:val="24"/>
        </w:rPr>
        <w:t>.2. Допустими разходи</w:t>
      </w:r>
      <w:bookmarkEnd w:id="45"/>
      <w:bookmarkEnd w:id="46"/>
    </w:p>
    <w:p w:rsidR="00C47B56" w:rsidRPr="00594B5D" w:rsidRDefault="00C47B56" w:rsidP="007C388C">
      <w:pPr>
        <w:suppressAutoHyphens/>
        <w:spacing w:before="120" w:after="120" w:line="360" w:lineRule="auto"/>
        <w:jc w:val="both"/>
        <w:rPr>
          <w:color w:val="000000" w:themeColor="text1"/>
        </w:rPr>
      </w:pPr>
      <w:r w:rsidRPr="00594B5D">
        <w:rPr>
          <w:color w:val="000000" w:themeColor="text1"/>
        </w:rPr>
        <w:t>Следните категории са определени като допустими за финансова помощ, тъй като са от решаващо значение за разгръщането както на пасивни, така и на активни компоненти на инфраструктурата:</w:t>
      </w:r>
    </w:p>
    <w:p w:rsidR="00C47B56" w:rsidRPr="00693159" w:rsidRDefault="00C47B56" w:rsidP="007C388C">
      <w:pPr>
        <w:pStyle w:val="ListParagraph"/>
        <w:numPr>
          <w:ilvl w:val="0"/>
          <w:numId w:val="28"/>
        </w:numPr>
        <w:spacing w:line="360" w:lineRule="auto"/>
        <w:ind w:left="0" w:firstLine="562"/>
        <w:rPr>
          <w:rFonts w:ascii="Times New Roman" w:hAnsi="Times New Roman"/>
          <w:color w:val="000000"/>
          <w:sz w:val="24"/>
          <w:szCs w:val="24"/>
        </w:rPr>
      </w:pPr>
      <w:r w:rsidRPr="00693159">
        <w:rPr>
          <w:rFonts w:ascii="Times New Roman" w:hAnsi="Times New Roman"/>
          <w:color w:val="000000"/>
          <w:sz w:val="24"/>
          <w:szCs w:val="24"/>
        </w:rPr>
        <w:t xml:space="preserve">Инфраструктура и гражданско строителство: включва всички строителни работи необходими за полагане на оптични кабели и инсталиране на свързаната инфраструктура. </w:t>
      </w:r>
    </w:p>
    <w:p w:rsidR="00C47B56" w:rsidRDefault="00C47B56" w:rsidP="007C388C">
      <w:pPr>
        <w:pStyle w:val="ListParagraph"/>
        <w:numPr>
          <w:ilvl w:val="0"/>
          <w:numId w:val="28"/>
        </w:numPr>
        <w:spacing w:line="360" w:lineRule="auto"/>
        <w:ind w:left="0" w:firstLine="562"/>
        <w:rPr>
          <w:rFonts w:ascii="Times New Roman" w:hAnsi="Times New Roman"/>
          <w:color w:val="000000"/>
          <w:sz w:val="24"/>
          <w:szCs w:val="24"/>
        </w:rPr>
      </w:pPr>
      <w:r w:rsidRPr="00693159">
        <w:rPr>
          <w:rFonts w:ascii="Times New Roman" w:hAnsi="Times New Roman"/>
          <w:color w:val="000000"/>
          <w:sz w:val="24"/>
          <w:szCs w:val="24"/>
        </w:rPr>
        <w:lastRenderedPageBreak/>
        <w:t>Закупуване на съществуваща инфраструктура, в случай че се докаже, че разходите са значително по-ниски от тези за изграждане на нова и дължината на тази инфраструктура не надхвърля 10% от общо планираната за съответния район.</w:t>
      </w:r>
    </w:p>
    <w:p w:rsidR="00B83A4B" w:rsidRPr="00727CFC" w:rsidRDefault="007C388C" w:rsidP="007C388C">
      <w:pPr>
        <w:pStyle w:val="ListParagraph"/>
        <w:numPr>
          <w:ilvl w:val="0"/>
          <w:numId w:val="28"/>
        </w:numPr>
        <w:spacing w:line="360" w:lineRule="auto"/>
        <w:ind w:left="0" w:firstLine="562"/>
        <w:rPr>
          <w:rFonts w:ascii="Times New Roman" w:hAnsi="Times New Roman"/>
          <w:color w:val="000000"/>
          <w:sz w:val="24"/>
          <w:szCs w:val="24"/>
        </w:rPr>
      </w:pPr>
      <w:r w:rsidRPr="00727CFC">
        <w:rPr>
          <w:rFonts w:ascii="Times New Roman" w:hAnsi="Times New Roman"/>
          <w:color w:val="000000"/>
          <w:sz w:val="24"/>
          <w:szCs w:val="24"/>
        </w:rPr>
        <w:t>Експлоатационни, инсталационни дейности и ремонти (текущи и основни ремонти на съществуващата и преизползвана електронна съобщителна инфраструктура)</w:t>
      </w:r>
      <w:r w:rsidR="00B83A4B" w:rsidRPr="00727CFC">
        <w:rPr>
          <w:rFonts w:ascii="Times New Roman" w:hAnsi="Times New Roman"/>
          <w:color w:val="000000"/>
          <w:sz w:val="24"/>
          <w:szCs w:val="24"/>
        </w:rPr>
        <w:t xml:space="preserve">. </w:t>
      </w:r>
    </w:p>
    <w:p w:rsidR="00C47B56" w:rsidRPr="00693159" w:rsidRDefault="00C47B56" w:rsidP="007C388C">
      <w:pPr>
        <w:pStyle w:val="ListParagraph"/>
        <w:numPr>
          <w:ilvl w:val="0"/>
          <w:numId w:val="28"/>
        </w:numPr>
        <w:spacing w:line="360" w:lineRule="auto"/>
        <w:ind w:left="0" w:firstLine="562"/>
        <w:rPr>
          <w:rFonts w:ascii="Times New Roman" w:hAnsi="Times New Roman"/>
          <w:color w:val="000000"/>
          <w:sz w:val="24"/>
          <w:szCs w:val="24"/>
        </w:rPr>
      </w:pPr>
      <w:r w:rsidRPr="00693159">
        <w:rPr>
          <w:rFonts w:ascii="Times New Roman" w:hAnsi="Times New Roman"/>
          <w:color w:val="000000"/>
          <w:sz w:val="24"/>
          <w:szCs w:val="24"/>
        </w:rPr>
        <w:t xml:space="preserve">Неотменими права за ползване (IRU) на тръба и/или тъмно влакно. </w:t>
      </w:r>
    </w:p>
    <w:p w:rsidR="00C47B56" w:rsidRPr="00693159" w:rsidRDefault="00C47B56" w:rsidP="007C388C">
      <w:pPr>
        <w:pStyle w:val="ListParagraph"/>
        <w:numPr>
          <w:ilvl w:val="0"/>
          <w:numId w:val="28"/>
        </w:numPr>
        <w:spacing w:line="360" w:lineRule="auto"/>
        <w:ind w:left="0" w:firstLine="562"/>
        <w:rPr>
          <w:rFonts w:ascii="Times New Roman" w:hAnsi="Times New Roman"/>
          <w:color w:val="000000"/>
          <w:sz w:val="24"/>
          <w:szCs w:val="24"/>
        </w:rPr>
      </w:pPr>
      <w:r w:rsidRPr="00693159">
        <w:rPr>
          <w:rFonts w:ascii="Times New Roman" w:hAnsi="Times New Roman"/>
          <w:color w:val="000000"/>
          <w:sz w:val="24"/>
          <w:szCs w:val="24"/>
        </w:rPr>
        <w:t xml:space="preserve">Пасивни елементи, необходими за разполагането на тъмно влакно от точката на доставка. </w:t>
      </w:r>
    </w:p>
    <w:p w:rsidR="00C47B56" w:rsidRPr="00693159" w:rsidRDefault="00C47B56" w:rsidP="007C388C">
      <w:pPr>
        <w:pStyle w:val="ListParagraph"/>
        <w:numPr>
          <w:ilvl w:val="0"/>
          <w:numId w:val="28"/>
        </w:numPr>
        <w:spacing w:line="360" w:lineRule="auto"/>
        <w:ind w:left="0" w:firstLine="562"/>
        <w:rPr>
          <w:rFonts w:ascii="Times New Roman" w:hAnsi="Times New Roman"/>
          <w:color w:val="000000"/>
          <w:sz w:val="24"/>
          <w:szCs w:val="24"/>
        </w:rPr>
      </w:pPr>
      <w:r w:rsidRPr="00693159">
        <w:rPr>
          <w:rFonts w:ascii="Times New Roman" w:hAnsi="Times New Roman"/>
          <w:color w:val="000000"/>
          <w:sz w:val="24"/>
          <w:szCs w:val="24"/>
        </w:rPr>
        <w:t xml:space="preserve">Активни елементи, необходими за експлоатация на влакното. </w:t>
      </w:r>
    </w:p>
    <w:p w:rsidR="00C47B56" w:rsidRPr="00693159" w:rsidRDefault="00C47B56" w:rsidP="007C388C">
      <w:pPr>
        <w:pStyle w:val="ListParagraph"/>
        <w:numPr>
          <w:ilvl w:val="0"/>
          <w:numId w:val="28"/>
        </w:numPr>
        <w:spacing w:line="360" w:lineRule="auto"/>
        <w:ind w:left="0" w:firstLine="562"/>
        <w:rPr>
          <w:rFonts w:ascii="Times New Roman" w:hAnsi="Times New Roman"/>
          <w:color w:val="000000"/>
          <w:sz w:val="24"/>
          <w:szCs w:val="24"/>
        </w:rPr>
      </w:pPr>
      <w:r w:rsidRPr="00693159">
        <w:rPr>
          <w:rFonts w:ascii="Times New Roman" w:hAnsi="Times New Roman"/>
          <w:color w:val="000000"/>
          <w:sz w:val="24"/>
          <w:szCs w:val="24"/>
        </w:rPr>
        <w:t xml:space="preserve">Активни елементи, необходими за управление на трафика на данни. </w:t>
      </w:r>
    </w:p>
    <w:p w:rsidR="00C47B56" w:rsidRPr="00693159" w:rsidRDefault="00C47B56" w:rsidP="007C388C">
      <w:pPr>
        <w:pStyle w:val="ListParagraph"/>
        <w:numPr>
          <w:ilvl w:val="0"/>
          <w:numId w:val="28"/>
        </w:numPr>
        <w:spacing w:line="360" w:lineRule="auto"/>
        <w:ind w:left="0" w:firstLine="562"/>
        <w:rPr>
          <w:rFonts w:ascii="Times New Roman" w:hAnsi="Times New Roman"/>
          <w:color w:val="000000"/>
          <w:sz w:val="24"/>
          <w:szCs w:val="24"/>
        </w:rPr>
      </w:pPr>
      <w:r w:rsidRPr="00693159">
        <w:rPr>
          <w:rFonts w:ascii="Times New Roman" w:hAnsi="Times New Roman"/>
          <w:color w:val="000000"/>
          <w:sz w:val="24"/>
          <w:szCs w:val="24"/>
        </w:rPr>
        <w:t xml:space="preserve">Допълващи елементи, вкл. алтернативни енергийни решения. </w:t>
      </w:r>
    </w:p>
    <w:p w:rsidR="00C47B56" w:rsidRPr="00693159" w:rsidRDefault="00C47B56" w:rsidP="007C388C">
      <w:pPr>
        <w:pStyle w:val="ListParagraph"/>
        <w:numPr>
          <w:ilvl w:val="0"/>
          <w:numId w:val="28"/>
        </w:numPr>
        <w:spacing w:line="360" w:lineRule="auto"/>
        <w:ind w:left="0" w:firstLine="562"/>
        <w:rPr>
          <w:rFonts w:ascii="Times New Roman" w:hAnsi="Times New Roman"/>
          <w:color w:val="000000"/>
          <w:sz w:val="24"/>
          <w:szCs w:val="24"/>
        </w:rPr>
      </w:pPr>
      <w:r w:rsidRPr="00693159">
        <w:rPr>
          <w:rFonts w:ascii="Times New Roman" w:hAnsi="Times New Roman"/>
          <w:color w:val="000000"/>
          <w:sz w:val="24"/>
          <w:szCs w:val="24"/>
        </w:rPr>
        <w:t xml:space="preserve">Оборудване и материали: Обхваща целия хардуер и материали, необходими за работата на мрежата, като оптични кабели, мрежови интерфейси и други елементи, необходими за оптиката и управление на трафика на данни. </w:t>
      </w:r>
    </w:p>
    <w:p w:rsidR="00C47B56" w:rsidRPr="00693159" w:rsidRDefault="00C47B56" w:rsidP="007C388C">
      <w:pPr>
        <w:pStyle w:val="ListParagraph"/>
        <w:numPr>
          <w:ilvl w:val="0"/>
          <w:numId w:val="28"/>
        </w:numPr>
        <w:spacing w:line="360" w:lineRule="auto"/>
        <w:ind w:left="0" w:firstLine="562"/>
        <w:rPr>
          <w:rFonts w:ascii="Times New Roman" w:hAnsi="Times New Roman"/>
          <w:color w:val="000000"/>
          <w:sz w:val="24"/>
          <w:szCs w:val="24"/>
        </w:rPr>
      </w:pPr>
      <w:r w:rsidRPr="00693159">
        <w:rPr>
          <w:rFonts w:ascii="Times New Roman" w:hAnsi="Times New Roman"/>
          <w:color w:val="000000"/>
          <w:sz w:val="24"/>
          <w:szCs w:val="24"/>
        </w:rPr>
        <w:t>Разходи за персонал: Покрива заплати на персонала, пряко ангажиран в проекта, от фазите на планиране и инженеринг до етапите на изпълнение и експлоатация</w:t>
      </w:r>
      <w:r w:rsidR="00713733">
        <w:rPr>
          <w:rFonts w:ascii="Times New Roman" w:hAnsi="Times New Roman"/>
          <w:color w:val="000000"/>
          <w:sz w:val="24"/>
          <w:szCs w:val="24"/>
        </w:rPr>
        <w:t xml:space="preserve"> и следва да не надхвърлят 5</w:t>
      </w:r>
      <w:r w:rsidR="00392204">
        <w:rPr>
          <w:rFonts w:ascii="Times New Roman" w:hAnsi="Times New Roman"/>
          <w:color w:val="000000"/>
          <w:sz w:val="24"/>
          <w:szCs w:val="24"/>
        </w:rPr>
        <w:t xml:space="preserve">% от общо допустимите </w:t>
      </w:r>
      <w:r w:rsidR="00F523B0">
        <w:rPr>
          <w:rFonts w:ascii="Times New Roman" w:hAnsi="Times New Roman"/>
          <w:color w:val="000000"/>
          <w:sz w:val="24"/>
          <w:szCs w:val="24"/>
        </w:rPr>
        <w:t>разходи.</w:t>
      </w:r>
      <w:r w:rsidRPr="00693159">
        <w:rPr>
          <w:rFonts w:ascii="Times New Roman" w:hAnsi="Times New Roman"/>
          <w:color w:val="000000"/>
          <w:sz w:val="24"/>
          <w:szCs w:val="24"/>
        </w:rPr>
        <w:t xml:space="preserve"> </w:t>
      </w:r>
    </w:p>
    <w:p w:rsidR="006A4A60" w:rsidRDefault="006A4A60" w:rsidP="007C388C">
      <w:pPr>
        <w:spacing w:before="120" w:after="120" w:line="360" w:lineRule="auto"/>
        <w:ind w:firstLine="562"/>
        <w:jc w:val="both"/>
        <w:rPr>
          <w:color w:val="000000"/>
        </w:rPr>
      </w:pPr>
      <w:r w:rsidRPr="00E0368C">
        <w:rPr>
          <w:color w:val="000000"/>
        </w:rPr>
        <w:t>• Допълнителни разходи: спомагателни разходи, включително подготовка</w:t>
      </w:r>
      <w:r>
        <w:rPr>
          <w:color w:val="000000"/>
        </w:rPr>
        <w:t xml:space="preserve"> </w:t>
      </w:r>
      <w:r w:rsidRPr="00E0368C">
        <w:rPr>
          <w:color w:val="000000"/>
        </w:rPr>
        <w:t>на проекта, придобиване и управление на разрешителни</w:t>
      </w:r>
      <w:r>
        <w:rPr>
          <w:color w:val="000000"/>
        </w:rPr>
        <w:t xml:space="preserve"> и други административни актове или съгласувания</w:t>
      </w:r>
      <w:r w:rsidRPr="00E0368C">
        <w:rPr>
          <w:color w:val="000000"/>
        </w:rPr>
        <w:t xml:space="preserve">, </w:t>
      </w:r>
      <w:r>
        <w:rPr>
          <w:color w:val="000000"/>
        </w:rPr>
        <w:t xml:space="preserve">в това число заснемане, отразяване и въвеждане в експлоатация, </w:t>
      </w:r>
      <w:r w:rsidRPr="00E0368C">
        <w:rPr>
          <w:color w:val="000000"/>
        </w:rPr>
        <w:t xml:space="preserve">както и </w:t>
      </w:r>
      <w:r>
        <w:rPr>
          <w:color w:val="000000"/>
        </w:rPr>
        <w:t xml:space="preserve">покупка и </w:t>
      </w:r>
      <w:r w:rsidRPr="00E0368C">
        <w:rPr>
          <w:color w:val="000000"/>
        </w:rPr>
        <w:t>доставка на оборудване, строго необходимо за изпълнение</w:t>
      </w:r>
      <w:r w:rsidR="00A30EFE">
        <w:rPr>
          <w:color w:val="000000"/>
        </w:rPr>
        <w:t>то</w:t>
      </w:r>
      <w:r w:rsidRPr="00E0368C">
        <w:rPr>
          <w:color w:val="000000"/>
        </w:rPr>
        <w:t xml:space="preserve"> на проекта.</w:t>
      </w:r>
    </w:p>
    <w:p w:rsidR="006A4A60" w:rsidRPr="00B83A4B" w:rsidRDefault="006A4A60" w:rsidP="007C388C">
      <w:pPr>
        <w:pStyle w:val="ListParagraph"/>
        <w:numPr>
          <w:ilvl w:val="0"/>
          <w:numId w:val="27"/>
        </w:numPr>
        <w:spacing w:line="360" w:lineRule="auto"/>
        <w:ind w:left="0" w:firstLine="562"/>
        <w:rPr>
          <w:rFonts w:ascii="Times New Roman" w:hAnsi="Times New Roman"/>
          <w:color w:val="000000"/>
          <w:sz w:val="24"/>
          <w:szCs w:val="24"/>
        </w:rPr>
      </w:pPr>
      <w:r w:rsidRPr="00693159">
        <w:rPr>
          <w:rFonts w:ascii="Times New Roman" w:hAnsi="Times New Roman"/>
          <w:color w:val="000000"/>
          <w:sz w:val="24"/>
          <w:szCs w:val="24"/>
        </w:rPr>
        <w:t>Непреки разходи свързани с управление</w:t>
      </w:r>
      <w:r>
        <w:rPr>
          <w:rFonts w:ascii="Times New Roman" w:hAnsi="Times New Roman"/>
          <w:color w:val="000000"/>
          <w:sz w:val="24"/>
          <w:szCs w:val="24"/>
        </w:rPr>
        <w:t>, популяризиране</w:t>
      </w:r>
      <w:r w:rsidRPr="00693159">
        <w:rPr>
          <w:rFonts w:ascii="Times New Roman" w:hAnsi="Times New Roman"/>
          <w:color w:val="000000"/>
          <w:sz w:val="24"/>
          <w:szCs w:val="24"/>
        </w:rPr>
        <w:t xml:space="preserve"> и одит на проекта</w:t>
      </w:r>
      <w:r w:rsidR="00CA27DB">
        <w:rPr>
          <w:rFonts w:ascii="Times New Roman" w:hAnsi="Times New Roman"/>
          <w:color w:val="000000"/>
          <w:sz w:val="24"/>
          <w:szCs w:val="24"/>
        </w:rPr>
        <w:t>, ко</w:t>
      </w:r>
      <w:r w:rsidR="006829E8">
        <w:rPr>
          <w:rFonts w:ascii="Times New Roman" w:hAnsi="Times New Roman"/>
          <w:color w:val="000000"/>
          <w:sz w:val="24"/>
          <w:szCs w:val="24"/>
        </w:rPr>
        <w:t xml:space="preserve">ито следва да </w:t>
      </w:r>
      <w:r w:rsidR="006829E8" w:rsidRPr="00693159">
        <w:rPr>
          <w:rFonts w:ascii="Times New Roman" w:hAnsi="Times New Roman"/>
          <w:color w:val="000000"/>
          <w:sz w:val="24"/>
          <w:szCs w:val="24"/>
        </w:rPr>
        <w:t>не надхвърля</w:t>
      </w:r>
      <w:r w:rsidR="006829E8">
        <w:rPr>
          <w:rFonts w:ascii="Times New Roman" w:hAnsi="Times New Roman"/>
          <w:color w:val="000000"/>
          <w:sz w:val="24"/>
          <w:szCs w:val="24"/>
        </w:rPr>
        <w:t xml:space="preserve">т </w:t>
      </w:r>
      <w:r w:rsidR="006670FE">
        <w:rPr>
          <w:rFonts w:ascii="Times New Roman" w:hAnsi="Times New Roman"/>
          <w:color w:val="000000"/>
          <w:sz w:val="24"/>
          <w:szCs w:val="24"/>
        </w:rPr>
        <w:t>1</w:t>
      </w:r>
      <w:r w:rsidR="006829E8" w:rsidRPr="00693159">
        <w:rPr>
          <w:rFonts w:ascii="Times New Roman" w:hAnsi="Times New Roman"/>
          <w:color w:val="000000"/>
          <w:sz w:val="24"/>
          <w:szCs w:val="24"/>
        </w:rPr>
        <w:t xml:space="preserve">% от общо </w:t>
      </w:r>
      <w:r w:rsidR="00392204">
        <w:rPr>
          <w:rFonts w:ascii="Times New Roman" w:hAnsi="Times New Roman"/>
          <w:color w:val="000000"/>
          <w:sz w:val="24"/>
          <w:szCs w:val="24"/>
        </w:rPr>
        <w:t>допустимите разходи</w:t>
      </w:r>
      <w:r w:rsidRPr="00693159">
        <w:rPr>
          <w:rFonts w:ascii="Times New Roman" w:hAnsi="Times New Roman"/>
          <w:color w:val="000000"/>
          <w:sz w:val="24"/>
          <w:szCs w:val="24"/>
        </w:rPr>
        <w:t>.</w:t>
      </w:r>
    </w:p>
    <w:p w:rsidR="0082608D" w:rsidRDefault="0082608D" w:rsidP="007C388C">
      <w:pPr>
        <w:spacing w:line="360" w:lineRule="auto"/>
        <w:rPr>
          <w:b/>
          <w:bCs/>
        </w:rPr>
      </w:pPr>
      <w:r w:rsidRPr="00F30B71">
        <w:rPr>
          <w:b/>
          <w:bCs/>
        </w:rPr>
        <w:t xml:space="preserve">Допустими разходи при изграждане/разполагане на нова широколентова инфраструктура </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9"/>
      </w:tblGrid>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Инвестиционен проект</w:t>
            </w:r>
            <w:r>
              <w:rPr>
                <w:rFonts w:eastAsia="Arial"/>
              </w:rPr>
              <w:t>:</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Проучване за нова канална мрежа</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lastRenderedPageBreak/>
              <w:t>Уведомление за инвестиционно намерение</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Проектиране на нова канална мрежа</w:t>
            </w:r>
            <w:r>
              <w:rPr>
                <w:rFonts w:eastAsia="Arial"/>
              </w:rPr>
              <w:t xml:space="preserve"> по смисъла на ЗУТ и/или ЗЕСМФИ </w:t>
            </w:r>
          </w:p>
        </w:tc>
      </w:tr>
      <w:tr w:rsidR="003F5E01" w:rsidRPr="008D4BEF" w:rsidTr="009F177D">
        <w:tc>
          <w:tcPr>
            <w:tcW w:w="9419" w:type="dxa"/>
          </w:tcPr>
          <w:p w:rsidR="003F5E01" w:rsidRPr="008D4BEF" w:rsidRDefault="003F5E01" w:rsidP="007C388C">
            <w:pPr>
              <w:spacing w:line="360" w:lineRule="auto"/>
              <w:rPr>
                <w:rFonts w:eastAsia="Arial"/>
              </w:rPr>
            </w:pPr>
            <w:r>
              <w:rPr>
                <w:rFonts w:eastAsia="Arial"/>
              </w:rPr>
              <w:t>Геодезическо заснемане</w:t>
            </w:r>
          </w:p>
        </w:tc>
      </w:tr>
      <w:tr w:rsidR="003F5E01" w:rsidRPr="008D4BEF" w:rsidTr="009F177D">
        <w:tc>
          <w:tcPr>
            <w:tcW w:w="9419" w:type="dxa"/>
          </w:tcPr>
          <w:p w:rsidR="003F5E01" w:rsidRPr="008D4BEF" w:rsidRDefault="003F5E01" w:rsidP="007C388C">
            <w:pPr>
              <w:spacing w:line="360" w:lineRule="auto"/>
              <w:rPr>
                <w:rFonts w:eastAsia="Arial"/>
              </w:rPr>
            </w:pP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Дейности до Разрешение за строеж:</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Уреждане на отношенията със собствениците и придобиване на вещни/облигационни права</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Предварително съгласуване на проектните трасета</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Провеждане на устройствени процедури - /ПУП-ПП;ПУП-ПС/ Две и повече области</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Съгласуване и одобряване на инвестицио</w:t>
            </w:r>
            <w:r>
              <w:rPr>
                <w:rFonts w:eastAsia="Arial"/>
              </w:rPr>
              <w:t>нните проекти и получаване на разрешения за строеж</w:t>
            </w:r>
            <w:r w:rsidRPr="008D4BEF">
              <w:rPr>
                <w:rFonts w:eastAsia="Arial"/>
              </w:rPr>
              <w:t xml:space="preserve"> на строежи I-V категория</w:t>
            </w:r>
          </w:p>
        </w:tc>
      </w:tr>
      <w:tr w:rsidR="003F5E01" w:rsidRPr="008D4BEF" w:rsidTr="009F177D">
        <w:tc>
          <w:tcPr>
            <w:tcW w:w="9419" w:type="dxa"/>
          </w:tcPr>
          <w:p w:rsidR="003F5E01" w:rsidRPr="008D4BEF" w:rsidRDefault="003F5E01" w:rsidP="007C388C">
            <w:pPr>
              <w:spacing w:line="360" w:lineRule="auto"/>
              <w:rPr>
                <w:rFonts w:eastAsia="Arial"/>
              </w:rPr>
            </w:pPr>
          </w:p>
        </w:tc>
      </w:tr>
      <w:tr w:rsidR="003F5E01" w:rsidRPr="008D4BEF" w:rsidTr="009F177D">
        <w:tc>
          <w:tcPr>
            <w:tcW w:w="9419" w:type="dxa"/>
          </w:tcPr>
          <w:p w:rsidR="003F5E01" w:rsidRPr="008D4BEF" w:rsidRDefault="003F5E01" w:rsidP="007C388C">
            <w:pPr>
              <w:spacing w:line="360" w:lineRule="auto"/>
              <w:rPr>
                <w:rFonts w:eastAsia="Arial"/>
              </w:rPr>
            </w:pPr>
            <w:r>
              <w:rPr>
                <w:rFonts w:eastAsia="Arial"/>
              </w:rPr>
              <w:t xml:space="preserve">Изготвяне на документация в обхват и съдържание съгласно изискванията на ЗЕСМФИ и Наредбата за правилата и нормите за проектиране, разполагане и демонтаж на електронна съобщителна мрежа за направата на кабелни мрежи в съществуваща тръбна мрежа </w:t>
            </w:r>
          </w:p>
        </w:tc>
      </w:tr>
      <w:tr w:rsidR="003F5E01" w:rsidRPr="008D4BEF" w:rsidTr="009F177D">
        <w:tc>
          <w:tcPr>
            <w:tcW w:w="9419" w:type="dxa"/>
          </w:tcPr>
          <w:p w:rsidR="003F5E01" w:rsidRDefault="003F5E01" w:rsidP="007C388C">
            <w:pPr>
              <w:spacing w:line="360" w:lineRule="auto"/>
              <w:rPr>
                <w:rFonts w:eastAsia="Arial"/>
              </w:rPr>
            </w:pP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СМР</w:t>
            </w:r>
          </w:p>
        </w:tc>
      </w:tr>
      <w:tr w:rsidR="003F5E01" w:rsidRPr="008D4BEF" w:rsidTr="009F177D">
        <w:tc>
          <w:tcPr>
            <w:tcW w:w="9419" w:type="dxa"/>
          </w:tcPr>
          <w:p w:rsidR="003F5E01" w:rsidRPr="008D4BEF" w:rsidRDefault="003F5E01" w:rsidP="007C388C">
            <w:pPr>
              <w:spacing w:line="360" w:lineRule="auto"/>
              <w:rPr>
                <w:rFonts w:eastAsia="Arial"/>
              </w:rPr>
            </w:pPr>
            <w:r>
              <w:rPr>
                <w:rFonts w:eastAsia="Arial"/>
              </w:rPr>
              <w:t>Доставка и изтегляне</w:t>
            </w:r>
            <w:r w:rsidR="00364198">
              <w:rPr>
                <w:rFonts w:eastAsia="Arial"/>
              </w:rPr>
              <w:t>/полагане</w:t>
            </w:r>
            <w:r>
              <w:rPr>
                <w:rFonts w:eastAsia="Arial"/>
              </w:rPr>
              <w:t xml:space="preserve"> на кабел в тръба </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Направа на машинен изкоп 0,80/0,40</w:t>
            </w:r>
            <w:r w:rsidR="00D63FAB">
              <w:rPr>
                <w:rFonts w:eastAsia="Arial"/>
              </w:rPr>
              <w:t xml:space="preserve"> </w:t>
            </w:r>
            <w:r w:rsidRPr="008D4BEF">
              <w:rPr>
                <w:rFonts w:eastAsia="Arial"/>
              </w:rPr>
              <w:t xml:space="preserve">м със засипване и трамбоване </w:t>
            </w:r>
          </w:p>
        </w:tc>
      </w:tr>
      <w:tr w:rsidR="003F5E01" w:rsidRPr="008D4BEF" w:rsidTr="009F177D">
        <w:tc>
          <w:tcPr>
            <w:tcW w:w="9419" w:type="dxa"/>
          </w:tcPr>
          <w:p w:rsidR="003F5E01" w:rsidRPr="008D4BEF" w:rsidRDefault="00D63FAB" w:rsidP="007C388C">
            <w:pPr>
              <w:spacing w:line="360" w:lineRule="auto"/>
              <w:rPr>
                <w:rFonts w:eastAsia="Arial"/>
              </w:rPr>
            </w:pPr>
            <w:r>
              <w:rPr>
                <w:rFonts w:eastAsia="Arial"/>
              </w:rPr>
              <w:t>Направа на машинен изкоп 1,1/</w:t>
            </w:r>
            <w:r w:rsidR="003F5E01">
              <w:rPr>
                <w:rFonts w:eastAsia="Arial"/>
              </w:rPr>
              <w:t xml:space="preserve">0,5м със засипване и трамбоване </w:t>
            </w:r>
          </w:p>
        </w:tc>
      </w:tr>
      <w:tr w:rsidR="003F5E01" w:rsidRPr="008D4BEF" w:rsidTr="009F177D">
        <w:tc>
          <w:tcPr>
            <w:tcW w:w="9419" w:type="dxa"/>
          </w:tcPr>
          <w:p w:rsidR="003F5E01" w:rsidRPr="008D4BEF" w:rsidRDefault="003F5E01" w:rsidP="007C388C">
            <w:pPr>
              <w:spacing w:line="360" w:lineRule="auto"/>
              <w:rPr>
                <w:rFonts w:eastAsia="Arial"/>
              </w:rPr>
            </w:pPr>
            <w:r>
              <w:rPr>
                <w:rFonts w:eastAsia="Arial"/>
              </w:rPr>
              <w:t>Направа на машинен или насочен сондаж</w:t>
            </w:r>
          </w:p>
        </w:tc>
      </w:tr>
      <w:tr w:rsidR="003F5E01" w:rsidRPr="008D4BEF" w:rsidTr="009F177D">
        <w:tc>
          <w:tcPr>
            <w:tcW w:w="9419" w:type="dxa"/>
          </w:tcPr>
          <w:p w:rsidR="003F5E01" w:rsidRPr="00AA1324" w:rsidRDefault="003F5E01" w:rsidP="007C388C">
            <w:pPr>
              <w:spacing w:line="360" w:lineRule="auto"/>
              <w:rPr>
                <w:rFonts w:eastAsia="Arial"/>
              </w:rPr>
            </w:pPr>
            <w:r>
              <w:rPr>
                <w:rFonts w:eastAsia="Arial"/>
              </w:rPr>
              <w:t xml:space="preserve">Доставка и монтаж на </w:t>
            </w:r>
            <w:r w:rsidRPr="003F5E01">
              <w:rPr>
                <w:rFonts w:eastAsia="Arial"/>
              </w:rPr>
              <w:t xml:space="preserve">PEHD </w:t>
            </w:r>
            <w:r>
              <w:rPr>
                <w:rFonts w:eastAsia="Arial"/>
              </w:rPr>
              <w:t>тръба</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 xml:space="preserve">Полагане на сигнална лента върху канална мрежа </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 xml:space="preserve">Полагане на  </w:t>
            </w:r>
            <w:r w:rsidRPr="003F5E01">
              <w:rPr>
                <w:rFonts w:eastAsia="Arial"/>
              </w:rPr>
              <w:t xml:space="preserve">HDPE </w:t>
            </w:r>
            <w:r w:rsidRPr="008D4BEF">
              <w:rPr>
                <w:rFonts w:eastAsia="Arial"/>
              </w:rPr>
              <w:t>тръба  в изкоп (2 броя)</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Монтаж на муфи за  HDPE тръба</w:t>
            </w:r>
          </w:p>
        </w:tc>
      </w:tr>
      <w:tr w:rsidR="003F5E01" w:rsidRPr="008D4BEF" w:rsidTr="009F177D">
        <w:tc>
          <w:tcPr>
            <w:tcW w:w="9419" w:type="dxa"/>
          </w:tcPr>
          <w:p w:rsidR="003F5E01" w:rsidRPr="00295ACC" w:rsidRDefault="003F5E01" w:rsidP="007C388C">
            <w:pPr>
              <w:spacing w:line="360" w:lineRule="auto"/>
              <w:rPr>
                <w:rFonts w:eastAsia="Arial"/>
              </w:rPr>
            </w:pPr>
            <w:r>
              <w:rPr>
                <w:rFonts w:eastAsia="Arial"/>
              </w:rPr>
              <w:t xml:space="preserve">Полагане на </w:t>
            </w:r>
            <w:r w:rsidRPr="003F5E01">
              <w:rPr>
                <w:rFonts w:eastAsia="Arial"/>
              </w:rPr>
              <w:t xml:space="preserve">PVC </w:t>
            </w:r>
            <w:r>
              <w:rPr>
                <w:rFonts w:eastAsia="Arial"/>
              </w:rPr>
              <w:t xml:space="preserve">тръба в бетонов кожух </w:t>
            </w:r>
          </w:p>
        </w:tc>
      </w:tr>
      <w:tr w:rsidR="003F5E01" w:rsidRPr="008D4BEF" w:rsidTr="009F177D">
        <w:tc>
          <w:tcPr>
            <w:tcW w:w="9419" w:type="dxa"/>
          </w:tcPr>
          <w:p w:rsidR="003F5E01" w:rsidRDefault="003F5E01" w:rsidP="007C388C">
            <w:pPr>
              <w:spacing w:line="360" w:lineRule="auto"/>
              <w:rPr>
                <w:rFonts w:eastAsia="Arial"/>
              </w:rPr>
            </w:pPr>
            <w:r>
              <w:rPr>
                <w:rFonts w:eastAsia="Arial"/>
              </w:rPr>
              <w:t xml:space="preserve">Доставка и монтаж на стоманена тръба </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 xml:space="preserve">Направа на единична </w:t>
            </w:r>
            <w:r>
              <w:rPr>
                <w:rFonts w:eastAsia="Arial"/>
              </w:rPr>
              <w:t xml:space="preserve">/ двойна или тройна </w:t>
            </w:r>
            <w:r w:rsidRPr="008D4BEF">
              <w:rPr>
                <w:rFonts w:eastAsia="Arial"/>
              </w:rPr>
              <w:t>кабелн</w:t>
            </w:r>
            <w:r>
              <w:rPr>
                <w:rFonts w:eastAsia="Arial"/>
              </w:rPr>
              <w:t>и</w:t>
            </w:r>
            <w:r w:rsidRPr="008D4BEF">
              <w:rPr>
                <w:rFonts w:eastAsia="Arial"/>
              </w:rPr>
              <w:t xml:space="preserve"> шахт</w:t>
            </w:r>
            <w:r>
              <w:rPr>
                <w:rFonts w:eastAsia="Arial"/>
              </w:rPr>
              <w:t>и</w:t>
            </w:r>
            <w:r w:rsidRPr="008D4BEF">
              <w:rPr>
                <w:rFonts w:eastAsia="Arial"/>
              </w:rPr>
              <w:t xml:space="preserve"> </w:t>
            </w:r>
          </w:p>
        </w:tc>
      </w:tr>
      <w:tr w:rsidR="003F5E01" w:rsidRPr="008D4BEF" w:rsidTr="009F177D">
        <w:tc>
          <w:tcPr>
            <w:tcW w:w="9419" w:type="dxa"/>
          </w:tcPr>
          <w:p w:rsidR="003F5E01" w:rsidRPr="008D4BEF" w:rsidRDefault="003F5E01" w:rsidP="007C388C">
            <w:pPr>
              <w:spacing w:line="360" w:lineRule="auto"/>
              <w:rPr>
                <w:rFonts w:eastAsia="Arial"/>
              </w:rPr>
            </w:pPr>
            <w:r>
              <w:rPr>
                <w:rFonts w:eastAsia="Arial"/>
              </w:rPr>
              <w:lastRenderedPageBreak/>
              <w:t xml:space="preserve">Доставка и монтаж на заривни кабелни шахти </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 xml:space="preserve">Изготвяне на екзекутивна документация (на </w:t>
            </w:r>
            <w:r>
              <w:rPr>
                <w:rFonts w:eastAsia="Arial"/>
              </w:rPr>
              <w:t>брой проект</w:t>
            </w:r>
            <w:r w:rsidRPr="008D4BEF">
              <w:rPr>
                <w:rFonts w:eastAsia="Arial"/>
              </w:rPr>
              <w:t>)</w:t>
            </w:r>
          </w:p>
        </w:tc>
      </w:tr>
      <w:tr w:rsidR="003F5E01" w:rsidRPr="008D4BEF" w:rsidTr="009F177D">
        <w:tc>
          <w:tcPr>
            <w:tcW w:w="9419" w:type="dxa"/>
          </w:tcPr>
          <w:p w:rsidR="003F5E01" w:rsidRPr="008D4BEF" w:rsidRDefault="003F5E01" w:rsidP="007C388C">
            <w:pPr>
              <w:spacing w:line="360" w:lineRule="auto"/>
              <w:rPr>
                <w:rFonts w:eastAsia="Arial"/>
              </w:rPr>
            </w:pPr>
            <w:r>
              <w:rPr>
                <w:rFonts w:eastAsia="Arial"/>
              </w:rPr>
              <w:t>Монтаж</w:t>
            </w:r>
            <w:r w:rsidRPr="008D4BEF">
              <w:rPr>
                <w:rFonts w:eastAsia="Arial"/>
              </w:rPr>
              <w:t xml:space="preserve"> </w:t>
            </w:r>
            <w:r>
              <w:rPr>
                <w:rFonts w:eastAsia="Arial"/>
              </w:rPr>
              <w:t xml:space="preserve">на оптични влакна </w:t>
            </w:r>
          </w:p>
        </w:tc>
      </w:tr>
      <w:tr w:rsidR="003F5E01" w:rsidRPr="008D4BEF" w:rsidTr="009F177D">
        <w:tc>
          <w:tcPr>
            <w:tcW w:w="9419" w:type="dxa"/>
          </w:tcPr>
          <w:p w:rsidR="003F5E01" w:rsidRPr="008D4BEF" w:rsidDel="00295ACC" w:rsidRDefault="003F5E01" w:rsidP="007C388C">
            <w:pPr>
              <w:spacing w:line="360" w:lineRule="auto"/>
              <w:rPr>
                <w:rFonts w:eastAsia="Arial"/>
              </w:rPr>
            </w:pPr>
            <w:r>
              <w:rPr>
                <w:rFonts w:eastAsia="Arial"/>
              </w:rPr>
              <w:t xml:space="preserve">Доставка и монтаж на оптични муфи </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Доставка и монтаж на репери за оптичен кабел</w:t>
            </w:r>
          </w:p>
        </w:tc>
      </w:tr>
      <w:tr w:rsidR="003F5E01" w:rsidRPr="008D4BEF" w:rsidTr="009F177D">
        <w:tc>
          <w:tcPr>
            <w:tcW w:w="9419" w:type="dxa"/>
          </w:tcPr>
          <w:p w:rsidR="003F5E01" w:rsidRPr="008D4BEF" w:rsidRDefault="003F5E01" w:rsidP="007C388C">
            <w:pPr>
              <w:spacing w:line="360" w:lineRule="auto"/>
              <w:rPr>
                <w:rFonts w:eastAsia="Arial"/>
              </w:rPr>
            </w:pPr>
            <w:r>
              <w:rPr>
                <w:rFonts w:eastAsia="Arial"/>
              </w:rPr>
              <w:t>Доставка и монтаж на пасивни кабелни маркери</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Измерване  с OTDR (optical time-domain reflectometer)</w:t>
            </w:r>
          </w:p>
        </w:tc>
      </w:tr>
      <w:tr w:rsidR="003F5E01" w:rsidRPr="008D4BEF" w:rsidTr="009F177D">
        <w:tc>
          <w:tcPr>
            <w:tcW w:w="9419" w:type="dxa"/>
          </w:tcPr>
          <w:p w:rsidR="003F5E01" w:rsidRPr="001D6CA2" w:rsidRDefault="003F5E01" w:rsidP="007C388C">
            <w:pPr>
              <w:spacing w:line="360" w:lineRule="auto"/>
              <w:rPr>
                <w:rFonts w:eastAsia="Arial"/>
              </w:rPr>
            </w:pPr>
            <w:r>
              <w:rPr>
                <w:rFonts w:eastAsia="Arial"/>
              </w:rPr>
              <w:t xml:space="preserve">Доставка и монтаж на </w:t>
            </w:r>
            <w:r w:rsidRPr="003F5E01">
              <w:rPr>
                <w:rFonts w:eastAsia="Arial"/>
              </w:rPr>
              <w:t xml:space="preserve">ODF </w:t>
            </w:r>
            <w:r>
              <w:rPr>
                <w:rFonts w:eastAsia="Arial"/>
              </w:rPr>
              <w:t>с адаптери</w:t>
            </w:r>
          </w:p>
        </w:tc>
      </w:tr>
      <w:tr w:rsidR="003F5E01" w:rsidRPr="008D4BEF" w:rsidTr="009F177D">
        <w:tc>
          <w:tcPr>
            <w:tcW w:w="9419" w:type="dxa"/>
          </w:tcPr>
          <w:p w:rsidR="003F5E01" w:rsidRDefault="003F5E01" w:rsidP="007C388C">
            <w:pPr>
              <w:spacing w:line="360" w:lineRule="auto"/>
              <w:rPr>
                <w:rFonts w:eastAsia="Arial"/>
              </w:rPr>
            </w:pPr>
            <w:r>
              <w:rPr>
                <w:rFonts w:eastAsia="Arial"/>
              </w:rPr>
              <w:t xml:space="preserve">Доставка и монтаж на оптични шнурове </w:t>
            </w:r>
          </w:p>
        </w:tc>
      </w:tr>
      <w:tr w:rsidR="003F5E01" w:rsidRPr="008D4BEF" w:rsidTr="009F177D">
        <w:tc>
          <w:tcPr>
            <w:tcW w:w="9419" w:type="dxa"/>
          </w:tcPr>
          <w:p w:rsidR="003F5E01" w:rsidRDefault="003F5E01" w:rsidP="007C388C">
            <w:pPr>
              <w:spacing w:line="360" w:lineRule="auto"/>
              <w:rPr>
                <w:rFonts w:eastAsia="Arial"/>
              </w:rPr>
            </w:pPr>
            <w:r>
              <w:rPr>
                <w:rFonts w:eastAsia="Arial"/>
              </w:rPr>
              <w:t xml:space="preserve">Разкъртване и възстановяване на настилки </w:t>
            </w:r>
          </w:p>
        </w:tc>
      </w:tr>
      <w:tr w:rsidR="003F5E01" w:rsidRPr="008D4BEF" w:rsidTr="009F177D">
        <w:tc>
          <w:tcPr>
            <w:tcW w:w="9419" w:type="dxa"/>
          </w:tcPr>
          <w:p w:rsidR="003F5E01" w:rsidRPr="008D4BEF" w:rsidRDefault="003F5E01" w:rsidP="007C388C">
            <w:pPr>
              <w:spacing w:line="360" w:lineRule="auto"/>
              <w:rPr>
                <w:rFonts w:eastAsia="Arial"/>
              </w:rPr>
            </w:pPr>
          </w:p>
        </w:tc>
      </w:tr>
      <w:tr w:rsidR="003F5E01" w:rsidRPr="008D4BEF" w:rsidTr="009F177D">
        <w:tc>
          <w:tcPr>
            <w:tcW w:w="9419" w:type="dxa"/>
          </w:tcPr>
          <w:p w:rsidR="003F5E01" w:rsidRPr="003F5E01" w:rsidRDefault="003F5E01" w:rsidP="007C388C">
            <w:pPr>
              <w:spacing w:line="360" w:lineRule="auto"/>
              <w:rPr>
                <w:rFonts w:eastAsia="Arial"/>
              </w:rPr>
            </w:pPr>
            <w:r w:rsidRPr="008D4BEF">
              <w:rPr>
                <w:rFonts w:eastAsia="Arial"/>
              </w:rPr>
              <w:t>Материал</w:t>
            </w:r>
            <w:r w:rsidRPr="00F30B71">
              <w:rPr>
                <w:rFonts w:eastAsia="Arial"/>
              </w:rPr>
              <w:t>и</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Тръба HDPE Ф40, 3,6мм дебелина (2 броя)</w:t>
            </w:r>
          </w:p>
        </w:tc>
      </w:tr>
      <w:tr w:rsidR="003F5E01" w:rsidRPr="008D4BEF" w:rsidTr="009F177D">
        <w:tc>
          <w:tcPr>
            <w:tcW w:w="9419" w:type="dxa"/>
          </w:tcPr>
          <w:p w:rsidR="003F5E01" w:rsidRPr="00AA1324" w:rsidRDefault="003F5E01" w:rsidP="007C388C">
            <w:pPr>
              <w:spacing w:line="360" w:lineRule="auto"/>
              <w:rPr>
                <w:rFonts w:eastAsia="Arial"/>
              </w:rPr>
            </w:pPr>
            <w:r>
              <w:rPr>
                <w:rFonts w:eastAsia="Arial"/>
              </w:rPr>
              <w:t xml:space="preserve">Преходник </w:t>
            </w:r>
            <w:r w:rsidRPr="003F5E01">
              <w:rPr>
                <w:rFonts w:eastAsia="Arial"/>
              </w:rPr>
              <w:t xml:space="preserve">HDPE </w:t>
            </w:r>
            <w:r>
              <w:rPr>
                <w:rFonts w:eastAsia="Arial"/>
              </w:rPr>
              <w:t xml:space="preserve">тръба / кабел </w:t>
            </w:r>
          </w:p>
        </w:tc>
      </w:tr>
      <w:tr w:rsidR="003F5E01" w:rsidRPr="008D4BEF" w:rsidTr="009F177D">
        <w:tc>
          <w:tcPr>
            <w:tcW w:w="9419" w:type="dxa"/>
          </w:tcPr>
          <w:p w:rsidR="003F5E01" w:rsidRPr="00AA1324" w:rsidRDefault="003F5E01" w:rsidP="007C388C">
            <w:pPr>
              <w:spacing w:line="360" w:lineRule="auto"/>
              <w:rPr>
                <w:rFonts w:eastAsia="Arial"/>
              </w:rPr>
            </w:pPr>
            <w:r w:rsidRPr="003F5E01">
              <w:rPr>
                <w:rFonts w:eastAsia="Arial"/>
              </w:rPr>
              <w:t xml:space="preserve">PVC </w:t>
            </w:r>
            <w:r>
              <w:rPr>
                <w:rFonts w:eastAsia="Arial"/>
              </w:rPr>
              <w:t xml:space="preserve">тръба Ф110 </w:t>
            </w:r>
          </w:p>
        </w:tc>
      </w:tr>
      <w:tr w:rsidR="003F5E01" w:rsidRPr="008D4BEF" w:rsidTr="009F177D">
        <w:tc>
          <w:tcPr>
            <w:tcW w:w="9419" w:type="dxa"/>
          </w:tcPr>
          <w:p w:rsidR="003F5E01" w:rsidRPr="0089636F" w:rsidRDefault="003F5E01" w:rsidP="007C388C">
            <w:pPr>
              <w:spacing w:line="360" w:lineRule="auto"/>
              <w:rPr>
                <w:rFonts w:eastAsia="Arial"/>
              </w:rPr>
            </w:pPr>
            <w:r>
              <w:rPr>
                <w:rFonts w:eastAsia="Arial"/>
              </w:rPr>
              <w:t xml:space="preserve">Стоманена тръба Ф108 </w:t>
            </w:r>
          </w:p>
        </w:tc>
      </w:tr>
      <w:tr w:rsidR="003F5E01" w:rsidRPr="008D4BEF" w:rsidTr="009F177D">
        <w:tc>
          <w:tcPr>
            <w:tcW w:w="9419" w:type="dxa"/>
          </w:tcPr>
          <w:p w:rsidR="003F5E01" w:rsidRPr="00AA1324" w:rsidRDefault="003F5E01" w:rsidP="007C388C">
            <w:pPr>
              <w:spacing w:line="360" w:lineRule="auto"/>
              <w:rPr>
                <w:rFonts w:eastAsia="Arial"/>
              </w:rPr>
            </w:pPr>
            <w:r>
              <w:rPr>
                <w:rFonts w:eastAsia="Arial"/>
              </w:rPr>
              <w:t xml:space="preserve">Тръба </w:t>
            </w:r>
            <w:r w:rsidRPr="003F5E01">
              <w:rPr>
                <w:rFonts w:eastAsia="Arial"/>
              </w:rPr>
              <w:t xml:space="preserve">PEHD </w:t>
            </w:r>
            <w:r>
              <w:rPr>
                <w:rFonts w:eastAsia="Arial"/>
              </w:rPr>
              <w:t xml:space="preserve">Ф100 </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Муфа Ф 40 за HDPE</w:t>
            </w:r>
          </w:p>
        </w:tc>
      </w:tr>
      <w:tr w:rsidR="003F5E01" w:rsidRPr="008D4BEF" w:rsidTr="009F177D">
        <w:tc>
          <w:tcPr>
            <w:tcW w:w="9419" w:type="dxa"/>
          </w:tcPr>
          <w:p w:rsidR="003F5E01" w:rsidRPr="008D4BEF" w:rsidRDefault="0009386A" w:rsidP="00D63FAB">
            <w:pPr>
              <w:spacing w:line="360" w:lineRule="auto"/>
              <w:rPr>
                <w:rFonts w:eastAsia="Arial"/>
              </w:rPr>
            </w:pPr>
            <w:r>
              <w:rPr>
                <w:rFonts w:eastAsia="Arial"/>
              </w:rPr>
              <w:t>1</w:t>
            </w:r>
            <w:r>
              <w:rPr>
                <w:rFonts w:eastAsia="Arial"/>
                <w:lang w:val="en-US"/>
              </w:rPr>
              <w:t>9˝</w:t>
            </w:r>
            <w:r w:rsidR="003F5E01" w:rsidRPr="008D4BEF">
              <w:rPr>
                <w:rFonts w:eastAsia="Arial"/>
              </w:rPr>
              <w:t xml:space="preserve"> </w:t>
            </w:r>
            <w:r w:rsidR="00D63FAB">
              <w:rPr>
                <w:rFonts w:eastAsia="Arial"/>
                <w:lang w:val="en-US"/>
              </w:rPr>
              <w:t>ODF</w:t>
            </w:r>
            <w:r w:rsidR="003F5E01" w:rsidRPr="008D4BEF">
              <w:rPr>
                <w:rFonts w:eastAsia="Arial"/>
              </w:rPr>
              <w:t xml:space="preserve"> Systeм</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Оптичен кабел до 432 влакна в различните направления</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Сигнална лента „Внимание оптичен кабел“</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 xml:space="preserve">Муфа оптична </w:t>
            </w:r>
          </w:p>
        </w:tc>
      </w:tr>
      <w:tr w:rsidR="003F5E01" w:rsidRPr="008D4BEF" w:rsidTr="009F177D">
        <w:tc>
          <w:tcPr>
            <w:tcW w:w="9419" w:type="dxa"/>
          </w:tcPr>
          <w:p w:rsidR="003F5E01" w:rsidRPr="008D4BEF" w:rsidRDefault="003F5E01" w:rsidP="007C388C">
            <w:pPr>
              <w:spacing w:line="360" w:lineRule="auto"/>
              <w:rPr>
                <w:rFonts w:eastAsia="Arial"/>
              </w:rPr>
            </w:pPr>
            <w:r>
              <w:rPr>
                <w:rFonts w:eastAsia="Arial"/>
              </w:rPr>
              <w:t>Оптични шнурове</w:t>
            </w:r>
          </w:p>
        </w:tc>
      </w:tr>
      <w:tr w:rsidR="003F5E01" w:rsidRPr="008D4BEF" w:rsidTr="009F177D">
        <w:tc>
          <w:tcPr>
            <w:tcW w:w="9419" w:type="dxa"/>
          </w:tcPr>
          <w:p w:rsidR="003F5E01" w:rsidRDefault="003F5E01" w:rsidP="007C388C">
            <w:pPr>
              <w:spacing w:line="360" w:lineRule="auto"/>
              <w:rPr>
                <w:rFonts w:eastAsia="Arial"/>
              </w:rPr>
            </w:pPr>
            <w:r>
              <w:rPr>
                <w:rFonts w:eastAsia="Arial"/>
              </w:rPr>
              <w:t xml:space="preserve">Пасивни кабелни маркери </w:t>
            </w:r>
          </w:p>
        </w:tc>
      </w:tr>
      <w:tr w:rsidR="003F5E01" w:rsidRPr="008D4BEF" w:rsidTr="009F177D">
        <w:tc>
          <w:tcPr>
            <w:tcW w:w="9419" w:type="dxa"/>
          </w:tcPr>
          <w:p w:rsidR="003F5E01" w:rsidRDefault="003F5E01" w:rsidP="007C388C">
            <w:pPr>
              <w:spacing w:line="360" w:lineRule="auto"/>
              <w:rPr>
                <w:rFonts w:eastAsia="Arial"/>
              </w:rPr>
            </w:pPr>
            <w:r>
              <w:rPr>
                <w:rFonts w:eastAsia="Arial"/>
              </w:rPr>
              <w:t xml:space="preserve">Репери за оптичен кабел </w:t>
            </w:r>
          </w:p>
        </w:tc>
      </w:tr>
      <w:tr w:rsidR="003F5E01" w:rsidRPr="008D4BEF" w:rsidTr="009F177D">
        <w:tc>
          <w:tcPr>
            <w:tcW w:w="9419" w:type="dxa"/>
          </w:tcPr>
          <w:p w:rsidR="003F5E01" w:rsidRDefault="003F5E01" w:rsidP="007C388C">
            <w:pPr>
              <w:spacing w:line="360" w:lineRule="auto"/>
              <w:rPr>
                <w:rFonts w:eastAsia="Arial"/>
              </w:rPr>
            </w:pPr>
            <w:r>
              <w:rPr>
                <w:rFonts w:eastAsia="Arial"/>
              </w:rPr>
              <w:t xml:space="preserve">Заривни кабелни шахти </w:t>
            </w:r>
          </w:p>
        </w:tc>
      </w:tr>
      <w:tr w:rsidR="003F5E01" w:rsidRPr="008D4BEF" w:rsidTr="009F177D">
        <w:tc>
          <w:tcPr>
            <w:tcW w:w="9419" w:type="dxa"/>
          </w:tcPr>
          <w:p w:rsidR="003F5E01" w:rsidRDefault="003F5E01" w:rsidP="007C388C">
            <w:pPr>
              <w:spacing w:line="360" w:lineRule="auto"/>
              <w:rPr>
                <w:rFonts w:eastAsia="Arial"/>
              </w:rPr>
            </w:pPr>
            <w:r>
              <w:rPr>
                <w:rFonts w:eastAsia="Arial"/>
              </w:rPr>
              <w:t>Инертни материали (бетон, асфалт, тротоарни плочи и др.)</w:t>
            </w:r>
          </w:p>
        </w:tc>
      </w:tr>
      <w:tr w:rsidR="003F5E01" w:rsidRPr="008D4BEF" w:rsidTr="009F177D">
        <w:tc>
          <w:tcPr>
            <w:tcW w:w="9419" w:type="dxa"/>
          </w:tcPr>
          <w:p w:rsidR="003F5E01" w:rsidRDefault="003F5E01" w:rsidP="007C388C">
            <w:pPr>
              <w:spacing w:line="360" w:lineRule="auto"/>
              <w:rPr>
                <w:rFonts w:eastAsia="Arial"/>
              </w:rPr>
            </w:pPr>
            <w:r>
              <w:rPr>
                <w:rFonts w:eastAsia="Arial"/>
              </w:rPr>
              <w:t>Оптични адаптери</w:t>
            </w:r>
          </w:p>
        </w:tc>
      </w:tr>
      <w:tr w:rsidR="003F5E01" w:rsidRPr="008D4BEF" w:rsidTr="009F177D">
        <w:tc>
          <w:tcPr>
            <w:tcW w:w="9419" w:type="dxa"/>
          </w:tcPr>
          <w:p w:rsidR="003F5E01" w:rsidRDefault="003F5E01" w:rsidP="007C388C">
            <w:pPr>
              <w:spacing w:line="360" w:lineRule="auto"/>
              <w:rPr>
                <w:rFonts w:eastAsia="Arial"/>
              </w:rPr>
            </w:pPr>
            <w:r>
              <w:rPr>
                <w:rFonts w:eastAsia="Arial"/>
              </w:rPr>
              <w:lastRenderedPageBreak/>
              <w:t xml:space="preserve">Оптични пигтейли </w:t>
            </w:r>
          </w:p>
        </w:tc>
      </w:tr>
      <w:tr w:rsidR="003F5E01" w:rsidRPr="008D4BEF" w:rsidTr="009F177D">
        <w:tc>
          <w:tcPr>
            <w:tcW w:w="9419" w:type="dxa"/>
          </w:tcPr>
          <w:p w:rsidR="003F5E01" w:rsidRPr="008D4BEF" w:rsidRDefault="003F5E01" w:rsidP="007C388C">
            <w:pPr>
              <w:spacing w:line="360" w:lineRule="auto"/>
              <w:rPr>
                <w:rFonts w:eastAsia="Arial"/>
              </w:rPr>
            </w:pP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Дейности до Разрешение за ползване</w:t>
            </w:r>
            <w:r>
              <w:rPr>
                <w:rFonts w:eastAsia="Arial"/>
              </w:rPr>
              <w:t xml:space="preserve"> или Удостоверение за въвеждане в експлоатация</w:t>
            </w:r>
            <w:r w:rsidRPr="008D4BEF">
              <w:rPr>
                <w:rFonts w:eastAsia="Arial"/>
              </w:rPr>
              <w:t>:</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Надзор по време на строителството</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Дейности по заснемане</w:t>
            </w:r>
            <w:r>
              <w:rPr>
                <w:rFonts w:eastAsia="Arial"/>
              </w:rPr>
              <w:t>, трасиране</w:t>
            </w:r>
            <w:r w:rsidRPr="008D4BEF">
              <w:rPr>
                <w:rFonts w:eastAsia="Arial"/>
              </w:rPr>
              <w:t xml:space="preserve"> и нанасяне в кадастъра на канална мрежа</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Изготвяне на технически паспорт на обекта</w:t>
            </w:r>
          </w:p>
        </w:tc>
      </w:tr>
      <w:tr w:rsidR="003F5E01" w:rsidRPr="008D4BEF" w:rsidTr="009F177D">
        <w:tc>
          <w:tcPr>
            <w:tcW w:w="9419" w:type="dxa"/>
          </w:tcPr>
          <w:p w:rsidR="003F5E01" w:rsidRPr="008D4BEF" w:rsidRDefault="003F5E01" w:rsidP="007C388C">
            <w:pPr>
              <w:spacing w:line="360" w:lineRule="auto"/>
              <w:rPr>
                <w:rFonts w:eastAsia="Arial"/>
              </w:rPr>
            </w:pPr>
            <w:r w:rsidRPr="008D4BEF">
              <w:rPr>
                <w:rFonts w:eastAsia="Arial"/>
              </w:rPr>
              <w:t xml:space="preserve">Действия за въвеждане на обекти І - </w:t>
            </w:r>
            <w:r w:rsidR="00DC0DB9">
              <w:rPr>
                <w:rFonts w:eastAsia="Arial"/>
              </w:rPr>
              <w:t>V</w:t>
            </w:r>
            <w:r w:rsidRPr="008D4BEF">
              <w:rPr>
                <w:rFonts w:eastAsia="Arial"/>
              </w:rPr>
              <w:t>-а категория в експлоатация</w:t>
            </w:r>
          </w:p>
        </w:tc>
      </w:tr>
      <w:tr w:rsidR="003F5E01" w:rsidRPr="008D4BEF" w:rsidTr="009F177D">
        <w:tc>
          <w:tcPr>
            <w:tcW w:w="9419" w:type="dxa"/>
          </w:tcPr>
          <w:p w:rsidR="003F5E01" w:rsidRPr="008D4BEF" w:rsidRDefault="003F5E01" w:rsidP="007C388C">
            <w:pPr>
              <w:spacing w:line="360" w:lineRule="auto"/>
              <w:rPr>
                <w:rFonts w:eastAsia="Arial"/>
              </w:rPr>
            </w:pPr>
            <w:r w:rsidRPr="00427512">
              <w:rPr>
                <w:rFonts w:eastAsia="Arial"/>
              </w:rPr>
              <w:t>Електрозахранване</w:t>
            </w:r>
            <w:r w:rsidRPr="003F5E01">
              <w:rPr>
                <w:rFonts w:eastAsia="Arial"/>
              </w:rPr>
              <w:t xml:space="preserve"> </w:t>
            </w:r>
            <w:r>
              <w:rPr>
                <w:rFonts w:eastAsia="Arial"/>
              </w:rPr>
              <w:t>до</w:t>
            </w:r>
            <w:r w:rsidRPr="00427512">
              <w:rPr>
                <w:rFonts w:eastAsia="Arial"/>
              </w:rPr>
              <w:t xml:space="preserve"> 50 kW</w:t>
            </w:r>
          </w:p>
        </w:tc>
      </w:tr>
      <w:tr w:rsidR="003F5E01" w:rsidRPr="008D4BEF" w:rsidTr="009F177D">
        <w:tc>
          <w:tcPr>
            <w:tcW w:w="9419" w:type="dxa"/>
          </w:tcPr>
          <w:p w:rsidR="003F5E01" w:rsidRPr="00427512" w:rsidRDefault="003F5E01" w:rsidP="007C388C">
            <w:pPr>
              <w:spacing w:line="360" w:lineRule="auto"/>
              <w:rPr>
                <w:rFonts w:eastAsia="Arial"/>
              </w:rPr>
            </w:pPr>
            <w:r>
              <w:rPr>
                <w:rFonts w:eastAsia="Arial"/>
              </w:rPr>
              <w:t xml:space="preserve">Закупуване и инсталиране на </w:t>
            </w:r>
            <w:r w:rsidRPr="00427512">
              <w:rPr>
                <w:rFonts w:eastAsia="Arial"/>
              </w:rPr>
              <w:t>алтернативни енергийни решения</w:t>
            </w:r>
          </w:p>
        </w:tc>
      </w:tr>
      <w:tr w:rsidR="003F5E01" w:rsidRPr="00F30B71" w:rsidTr="009F177D">
        <w:tc>
          <w:tcPr>
            <w:tcW w:w="9419" w:type="dxa"/>
          </w:tcPr>
          <w:p w:rsidR="003F5E01" w:rsidRPr="00F30B71" w:rsidRDefault="003F5E01" w:rsidP="007C388C">
            <w:pPr>
              <w:spacing w:line="360" w:lineRule="auto"/>
              <w:rPr>
                <w:rFonts w:eastAsia="Arial"/>
              </w:rPr>
            </w:pPr>
          </w:p>
        </w:tc>
      </w:tr>
      <w:tr w:rsidR="003F5E01" w:rsidRPr="00F30B71" w:rsidTr="009F177D">
        <w:tc>
          <w:tcPr>
            <w:tcW w:w="9419" w:type="dxa"/>
          </w:tcPr>
          <w:p w:rsidR="003F5E01" w:rsidRPr="00F30B71" w:rsidRDefault="003F5E01" w:rsidP="007C388C">
            <w:pPr>
              <w:spacing w:line="360" w:lineRule="auto"/>
              <w:rPr>
                <w:rFonts w:eastAsia="Arial"/>
              </w:rPr>
            </w:pPr>
            <w:r w:rsidRPr="00F30B71">
              <w:rPr>
                <w:rFonts w:eastAsia="Arial"/>
              </w:rPr>
              <w:t xml:space="preserve">Вкарване в параметри на оптични кабелни линии: </w:t>
            </w:r>
          </w:p>
        </w:tc>
      </w:tr>
      <w:tr w:rsidR="007C388C" w:rsidRPr="00F30B71" w:rsidTr="009F177D">
        <w:tc>
          <w:tcPr>
            <w:tcW w:w="9419" w:type="dxa"/>
          </w:tcPr>
          <w:p w:rsidR="007C388C" w:rsidRPr="00F30B71" w:rsidRDefault="007C388C" w:rsidP="007C388C">
            <w:pPr>
              <w:spacing w:line="360" w:lineRule="auto"/>
              <w:rPr>
                <w:rFonts w:eastAsia="Arial"/>
              </w:rPr>
            </w:pPr>
            <w:r w:rsidRPr="007C388C">
              <w:rPr>
                <w:rFonts w:eastAsia="Arial"/>
              </w:rPr>
              <w:t>Дейности по модернизиране, текущ и основен ремонт и/или профилактиране</w:t>
            </w:r>
          </w:p>
        </w:tc>
      </w:tr>
      <w:tr w:rsidR="003F5E01" w:rsidRPr="00F30B71" w:rsidTr="009F177D">
        <w:tc>
          <w:tcPr>
            <w:tcW w:w="9419" w:type="dxa"/>
          </w:tcPr>
          <w:p w:rsidR="003F5E01" w:rsidRPr="00F30B71" w:rsidRDefault="003F5E01" w:rsidP="007C388C">
            <w:pPr>
              <w:spacing w:line="360" w:lineRule="auto"/>
              <w:rPr>
                <w:rFonts w:eastAsia="Arial"/>
              </w:rPr>
            </w:pPr>
            <w:r w:rsidRPr="00F30B71">
              <w:rPr>
                <w:rFonts w:eastAsia="Arial"/>
              </w:rPr>
              <w:t>Преработка на оптични кабелни муфи</w:t>
            </w:r>
          </w:p>
        </w:tc>
      </w:tr>
      <w:tr w:rsidR="003F5E01" w:rsidRPr="00F30B71" w:rsidTr="009F177D">
        <w:tc>
          <w:tcPr>
            <w:tcW w:w="9419" w:type="dxa"/>
          </w:tcPr>
          <w:p w:rsidR="003F5E01" w:rsidRPr="00F30B71" w:rsidRDefault="003F5E01" w:rsidP="007C388C">
            <w:pPr>
              <w:spacing w:line="360" w:lineRule="auto"/>
              <w:rPr>
                <w:rFonts w:eastAsia="Arial"/>
              </w:rPr>
            </w:pPr>
            <w:r w:rsidRPr="00F30B71">
              <w:rPr>
                <w:rFonts w:eastAsia="Arial"/>
              </w:rPr>
              <w:t>Отстраняване на забележки по проблемни оптични влакна</w:t>
            </w:r>
          </w:p>
        </w:tc>
      </w:tr>
      <w:tr w:rsidR="003F5E01" w:rsidRPr="00F30B71" w:rsidTr="009F177D">
        <w:tc>
          <w:tcPr>
            <w:tcW w:w="9419" w:type="dxa"/>
          </w:tcPr>
          <w:p w:rsidR="003F5E01" w:rsidRPr="003F5E01" w:rsidRDefault="003F5E01" w:rsidP="007C388C">
            <w:pPr>
              <w:spacing w:line="360" w:lineRule="auto"/>
              <w:rPr>
                <w:rFonts w:eastAsia="Arial"/>
              </w:rPr>
            </w:pPr>
            <w:r w:rsidRPr="00F30B71">
              <w:rPr>
                <w:rFonts w:eastAsia="Arial"/>
              </w:rPr>
              <w:t>Измервания</w:t>
            </w:r>
            <w:r>
              <w:rPr>
                <w:rFonts w:eastAsia="Arial"/>
              </w:rPr>
              <w:t xml:space="preserve"> с </w:t>
            </w:r>
            <w:r w:rsidRPr="003F5E01">
              <w:rPr>
                <w:rFonts w:eastAsia="Arial"/>
              </w:rPr>
              <w:t>OTDR</w:t>
            </w:r>
          </w:p>
        </w:tc>
      </w:tr>
      <w:tr w:rsidR="00DC0DB9" w:rsidRPr="00F30B71" w:rsidTr="009F177D">
        <w:tc>
          <w:tcPr>
            <w:tcW w:w="9419" w:type="dxa"/>
          </w:tcPr>
          <w:p w:rsidR="00DC0DB9" w:rsidRPr="00DC0DB9" w:rsidRDefault="00DC0DB9" w:rsidP="007C388C">
            <w:pPr>
              <w:spacing w:line="360" w:lineRule="auto"/>
              <w:rPr>
                <w:rFonts w:eastAsia="Arial"/>
              </w:rPr>
            </w:pPr>
            <w:r>
              <w:rPr>
                <w:rFonts w:eastAsia="Arial"/>
              </w:rPr>
              <w:t>Сплайсване</w:t>
            </w:r>
          </w:p>
        </w:tc>
      </w:tr>
      <w:tr w:rsidR="003F5E01" w:rsidRPr="00F30B71" w:rsidTr="009F177D">
        <w:tc>
          <w:tcPr>
            <w:tcW w:w="9419" w:type="dxa"/>
          </w:tcPr>
          <w:p w:rsidR="003F5E01" w:rsidRPr="00F30B71" w:rsidRDefault="003F5E01" w:rsidP="007C388C">
            <w:pPr>
              <w:spacing w:line="360" w:lineRule="auto"/>
              <w:rPr>
                <w:rFonts w:eastAsia="Arial"/>
              </w:rPr>
            </w:pPr>
          </w:p>
        </w:tc>
      </w:tr>
      <w:tr w:rsidR="003F5E01" w:rsidRPr="00F30B71" w:rsidTr="009F177D">
        <w:tc>
          <w:tcPr>
            <w:tcW w:w="9419" w:type="dxa"/>
          </w:tcPr>
          <w:p w:rsidR="003F5E01" w:rsidRPr="00F30B71" w:rsidRDefault="003F5E01" w:rsidP="007C388C">
            <w:pPr>
              <w:spacing w:line="360" w:lineRule="auto"/>
              <w:rPr>
                <w:rFonts w:eastAsia="Arial"/>
              </w:rPr>
            </w:pPr>
            <w:r w:rsidRPr="00F30B71">
              <w:rPr>
                <w:rFonts w:eastAsia="Arial"/>
              </w:rPr>
              <w:t>Профилактика  ODF</w:t>
            </w:r>
          </w:p>
        </w:tc>
      </w:tr>
      <w:tr w:rsidR="003F5E01" w:rsidRPr="00F30B71" w:rsidTr="009F177D">
        <w:tc>
          <w:tcPr>
            <w:tcW w:w="9419" w:type="dxa"/>
          </w:tcPr>
          <w:p w:rsidR="003F5E01" w:rsidRPr="00F30B71" w:rsidRDefault="003F5E01" w:rsidP="007C388C">
            <w:pPr>
              <w:spacing w:line="360" w:lineRule="auto"/>
              <w:rPr>
                <w:rFonts w:eastAsia="Arial"/>
              </w:rPr>
            </w:pPr>
            <w:r w:rsidRPr="003F5E01">
              <w:rPr>
                <w:rFonts w:eastAsia="Arial"/>
              </w:rPr>
              <w:t>Подмяна на пигтейли и адаптери</w:t>
            </w:r>
          </w:p>
        </w:tc>
      </w:tr>
      <w:tr w:rsidR="003F5E01" w:rsidRPr="00F30B71" w:rsidTr="009F177D">
        <w:tc>
          <w:tcPr>
            <w:tcW w:w="9419" w:type="dxa"/>
          </w:tcPr>
          <w:p w:rsidR="003F5E01" w:rsidRPr="00F30B71" w:rsidRDefault="003F5E01" w:rsidP="007C388C">
            <w:pPr>
              <w:spacing w:line="360" w:lineRule="auto"/>
              <w:rPr>
                <w:rFonts w:eastAsia="Arial"/>
              </w:rPr>
            </w:pPr>
            <w:r w:rsidRPr="003F5E01">
              <w:rPr>
                <w:rFonts w:eastAsia="Arial"/>
              </w:rPr>
              <w:t>Актуализация и описание на препачвания на ОDF-и</w:t>
            </w:r>
          </w:p>
        </w:tc>
      </w:tr>
      <w:tr w:rsidR="003F5E01" w:rsidRPr="00F30B71" w:rsidTr="009F177D">
        <w:tc>
          <w:tcPr>
            <w:tcW w:w="9419" w:type="dxa"/>
          </w:tcPr>
          <w:p w:rsidR="003F5E01" w:rsidRPr="00F30B71" w:rsidRDefault="003F5E01" w:rsidP="007C388C">
            <w:pPr>
              <w:spacing w:line="360" w:lineRule="auto"/>
              <w:rPr>
                <w:rFonts w:eastAsia="Arial"/>
              </w:rPr>
            </w:pPr>
            <w:r w:rsidRPr="003F5E01">
              <w:rPr>
                <w:rFonts w:eastAsia="Arial"/>
              </w:rPr>
              <w:t>Подмяна на  оптични шнурове</w:t>
            </w:r>
          </w:p>
        </w:tc>
      </w:tr>
      <w:tr w:rsidR="007C388C" w:rsidRPr="00F30B71" w:rsidTr="009F177D">
        <w:tc>
          <w:tcPr>
            <w:tcW w:w="9419" w:type="dxa"/>
          </w:tcPr>
          <w:p w:rsidR="007C388C" w:rsidRPr="003F5E01" w:rsidRDefault="007C388C" w:rsidP="007C388C">
            <w:pPr>
              <w:spacing w:line="360" w:lineRule="auto"/>
              <w:rPr>
                <w:rFonts w:eastAsia="Arial"/>
              </w:rPr>
            </w:pPr>
          </w:p>
        </w:tc>
      </w:tr>
      <w:tr w:rsidR="007C388C" w:rsidRPr="00F30B71" w:rsidTr="009F177D">
        <w:tc>
          <w:tcPr>
            <w:tcW w:w="9419" w:type="dxa"/>
          </w:tcPr>
          <w:p w:rsidR="007C388C" w:rsidRPr="003F5E01" w:rsidRDefault="007C388C" w:rsidP="007C388C">
            <w:pPr>
              <w:spacing w:line="360" w:lineRule="auto"/>
              <w:rPr>
                <w:rFonts w:eastAsia="Arial"/>
              </w:rPr>
            </w:pPr>
            <w:r w:rsidRPr="007C388C">
              <w:rPr>
                <w:rFonts w:eastAsia="Arial"/>
              </w:rPr>
              <w:t>Разходи по учредяване на неотменимо право на ползване на тръба и/или тъмно влакно (IRU)</w:t>
            </w:r>
          </w:p>
        </w:tc>
      </w:tr>
      <w:tr w:rsidR="007C388C" w:rsidRPr="00F30B71" w:rsidTr="009F177D">
        <w:tc>
          <w:tcPr>
            <w:tcW w:w="9419" w:type="dxa"/>
          </w:tcPr>
          <w:p w:rsidR="007C388C" w:rsidRPr="003F5E01" w:rsidRDefault="007C388C" w:rsidP="007C388C">
            <w:pPr>
              <w:spacing w:line="360" w:lineRule="auto"/>
              <w:rPr>
                <w:rFonts w:eastAsia="Arial"/>
              </w:rPr>
            </w:pPr>
            <w:r>
              <w:rPr>
                <w:rFonts w:eastAsia="Arial"/>
              </w:rPr>
              <w:t>Р</w:t>
            </w:r>
            <w:r w:rsidRPr="007C388C">
              <w:rPr>
                <w:rFonts w:eastAsia="Arial"/>
              </w:rPr>
              <w:t>азходи по придобиване на съществуващи мрежи, които не надхвърлят 10% от дължината на проектираната мрежа за съответния район</w:t>
            </w:r>
          </w:p>
        </w:tc>
      </w:tr>
    </w:tbl>
    <w:p w:rsidR="0082608D" w:rsidRDefault="0082608D" w:rsidP="007C388C">
      <w:pPr>
        <w:spacing w:line="360" w:lineRule="auto"/>
      </w:pPr>
      <w:r>
        <w:rPr>
          <w:lang w:val="en-US"/>
        </w:rPr>
        <w:lastRenderedPageBreak/>
        <w:t>*</w:t>
      </w:r>
      <w:r>
        <w:t xml:space="preserve"> Посочените разходи в таблицата по-горе не са изчерпателни и могат да варират съобразно терена и строителния режим, който се използва. В такъв случай задължение на бенефициера е да докаже съответствието на заложените разходи с целите на мярката.</w:t>
      </w:r>
    </w:p>
    <w:p w:rsidR="00786454" w:rsidRPr="00364198" w:rsidRDefault="00786454" w:rsidP="007C388C">
      <w:pPr>
        <w:suppressAutoHyphens/>
        <w:spacing w:before="120" w:after="120" w:line="360" w:lineRule="auto"/>
        <w:jc w:val="both"/>
        <w:rPr>
          <w:color w:val="000000" w:themeColor="text1"/>
        </w:rPr>
      </w:pPr>
      <w:r w:rsidRPr="00594B5D">
        <w:rPr>
          <w:color w:val="000000" w:themeColor="text1"/>
        </w:rPr>
        <w:t xml:space="preserve">Връзките за преносната мрежа, които трябва да бъдат предоставени, включват както физическата инфраструктура, която ще бъде изградена, така и пасивните елементи </w:t>
      </w:r>
      <w:r w:rsidR="0005442D">
        <w:rPr>
          <w:color w:val="000000" w:themeColor="text1"/>
        </w:rPr>
        <w:t>з</w:t>
      </w:r>
      <w:r w:rsidRPr="00594B5D">
        <w:rPr>
          <w:color w:val="000000" w:themeColor="text1"/>
        </w:rPr>
        <w:t xml:space="preserve">а разгръщането на оптични влакна, както и активните елементи, необходими за стартирането на мрежата, за управлението на трафика на данни, генериран от базовите станции, към които гореспоменатата </w:t>
      </w:r>
      <w:r w:rsidR="0005442D">
        <w:rPr>
          <w:color w:val="000000" w:themeColor="text1"/>
        </w:rPr>
        <w:t>преносна мрежа</w:t>
      </w:r>
      <w:r w:rsidRPr="00594B5D">
        <w:rPr>
          <w:color w:val="000000" w:themeColor="text1"/>
        </w:rPr>
        <w:t xml:space="preserve"> осигурява </w:t>
      </w:r>
      <w:r w:rsidR="0005442D" w:rsidRPr="00594B5D">
        <w:rPr>
          <w:color w:val="000000" w:themeColor="text1"/>
        </w:rPr>
        <w:t xml:space="preserve">връзка </w:t>
      </w:r>
      <w:r w:rsidRPr="00594B5D">
        <w:rPr>
          <w:color w:val="000000" w:themeColor="text1"/>
        </w:rPr>
        <w:t xml:space="preserve">на определено място. </w:t>
      </w:r>
    </w:p>
    <w:p w:rsidR="00D321A6" w:rsidRPr="00D321A6" w:rsidRDefault="00D321A6" w:rsidP="007C388C">
      <w:pPr>
        <w:spacing w:after="160" w:line="360" w:lineRule="auto"/>
        <w:jc w:val="both"/>
        <w:rPr>
          <w:color w:val="000000" w:themeColor="text1"/>
        </w:rPr>
      </w:pPr>
      <w:r w:rsidRPr="00510A87">
        <w:rPr>
          <w:bCs/>
        </w:rPr>
        <w:t>Минималните технически характеристики на финансираната широколентова инфраструктура са и техническите характеристики на субсидираните преносни мрежи</w:t>
      </w:r>
      <w:r w:rsidR="00D63FAB">
        <w:rPr>
          <w:bCs/>
          <w:lang w:val="en-US"/>
        </w:rPr>
        <w:t xml:space="preserve"> </w:t>
      </w:r>
      <w:r w:rsidR="00D63FAB">
        <w:rPr>
          <w:bCs/>
        </w:rPr>
        <w:t>и</w:t>
      </w:r>
      <w:r w:rsidRPr="00510A87">
        <w:rPr>
          <w:bCs/>
        </w:rPr>
        <w:t xml:space="preserve"> са подробно описани в Приложение 8 Минимални технически изисквания.</w:t>
      </w:r>
    </w:p>
    <w:p w:rsidR="00594B5D" w:rsidRPr="00D321A6" w:rsidRDefault="00594B5D" w:rsidP="007C388C">
      <w:pPr>
        <w:suppressAutoHyphens/>
        <w:spacing w:after="120" w:line="360" w:lineRule="auto"/>
        <w:jc w:val="both"/>
      </w:pPr>
      <w:r w:rsidRPr="00D321A6">
        <w:t>Всички посочени по-горе разходи следва да са необходи</w:t>
      </w:r>
      <w:r w:rsidR="0005442D">
        <w:t>ми и пряко свързани с изграждане</w:t>
      </w:r>
      <w:r w:rsidRPr="00D321A6">
        <w:t>то на преносните мрежи за достъп.</w:t>
      </w:r>
    </w:p>
    <w:p w:rsidR="00594B5D" w:rsidRPr="00594B5D" w:rsidRDefault="00594B5D" w:rsidP="007C388C">
      <w:pPr>
        <w:suppressAutoHyphens/>
        <w:spacing w:before="120" w:after="120" w:line="360" w:lineRule="auto"/>
        <w:jc w:val="both"/>
        <w:rPr>
          <w:color w:val="000000" w:themeColor="text1"/>
        </w:rPr>
      </w:pPr>
      <w:r w:rsidRPr="00594B5D">
        <w:rPr>
          <w:color w:val="000000" w:themeColor="text1"/>
        </w:rPr>
        <w:t>Разходите следва да са извършени от крайния получател.</w:t>
      </w:r>
    </w:p>
    <w:p w:rsidR="006112EE" w:rsidRPr="00E13676" w:rsidRDefault="006112EE"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color w:val="000000" w:themeColor="text1"/>
        </w:rPr>
      </w:pPr>
      <w:r w:rsidRPr="00E13676">
        <w:rPr>
          <w:b/>
          <w:color w:val="000000" w:themeColor="text1"/>
        </w:rPr>
        <w:t>ВАЖНО:</w:t>
      </w:r>
      <w:r w:rsidRPr="00E13676">
        <w:rPr>
          <w:color w:val="000000" w:themeColor="text1"/>
        </w:rPr>
        <w:t xml:space="preserve"> </w:t>
      </w:r>
      <w:r w:rsidR="004A6EC9" w:rsidRPr="00E13676">
        <w:rPr>
          <w:color w:val="000000" w:themeColor="text1"/>
        </w:rPr>
        <w:t>В</w:t>
      </w:r>
      <w:r w:rsidR="00B711E5" w:rsidRPr="00E13676">
        <w:rPr>
          <w:color w:val="000000" w:themeColor="text1"/>
        </w:rPr>
        <w:t xml:space="preserve">секи допустим разход </w:t>
      </w:r>
      <w:r w:rsidR="004A6EC9" w:rsidRPr="00E13676">
        <w:rPr>
          <w:color w:val="000000" w:themeColor="text1"/>
        </w:rPr>
        <w:t xml:space="preserve">във Формуляра за кандидатстване </w:t>
      </w:r>
      <w:r w:rsidR="00B711E5" w:rsidRPr="00E13676">
        <w:rPr>
          <w:color w:val="000000" w:themeColor="text1"/>
        </w:rPr>
        <w:t xml:space="preserve">следва да бъде </w:t>
      </w:r>
      <w:r w:rsidR="004A6EC9" w:rsidRPr="00E13676">
        <w:rPr>
          <w:color w:val="000000" w:themeColor="text1"/>
        </w:rPr>
        <w:t xml:space="preserve">посочен с конкретна стойност и </w:t>
      </w:r>
      <w:r w:rsidR="00B711E5" w:rsidRPr="00E13676">
        <w:rPr>
          <w:color w:val="000000" w:themeColor="text1"/>
        </w:rPr>
        <w:t>съобразен с определената максимална стойн</w:t>
      </w:r>
      <w:r w:rsidR="001A588E">
        <w:rPr>
          <w:color w:val="000000" w:themeColor="text1"/>
        </w:rPr>
        <w:t>ост на безвъзмездно</w:t>
      </w:r>
      <w:r w:rsidR="004E3A4D">
        <w:rPr>
          <w:color w:val="000000" w:themeColor="text1"/>
        </w:rPr>
        <w:t>то</w:t>
      </w:r>
      <w:r w:rsidR="001A588E">
        <w:rPr>
          <w:color w:val="000000" w:themeColor="text1"/>
        </w:rPr>
        <w:t xml:space="preserve"> финансиране.</w:t>
      </w:r>
    </w:p>
    <w:p w:rsidR="006112EE" w:rsidRPr="00E13676" w:rsidRDefault="006112EE" w:rsidP="007C388C">
      <w:pPr>
        <w:suppressAutoHyphens/>
        <w:spacing w:before="120" w:after="120" w:line="360" w:lineRule="auto"/>
        <w:jc w:val="both"/>
      </w:pPr>
    </w:p>
    <w:p w:rsidR="00B711E5" w:rsidRPr="00E13676" w:rsidRDefault="003F1496"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color w:val="000000" w:themeColor="text1"/>
        </w:rPr>
      </w:pPr>
      <w:r w:rsidRPr="00E13676">
        <w:rPr>
          <w:b/>
          <w:color w:val="000000" w:themeColor="text1"/>
        </w:rPr>
        <w:t>ВАЖНО:</w:t>
      </w:r>
      <w:r w:rsidRPr="00E13676">
        <w:rPr>
          <w:color w:val="000000" w:themeColor="text1"/>
        </w:rPr>
        <w:t xml:space="preserve"> </w:t>
      </w:r>
      <w:r w:rsidR="00B711E5" w:rsidRPr="00E13676">
        <w:rPr>
          <w:color w:val="000000" w:themeColor="text1"/>
        </w:rPr>
        <w:t>Във Формуляра за кандидатстване, следва да бъде посочен адрес</w:t>
      </w:r>
      <w:r w:rsidR="00397287">
        <w:rPr>
          <w:color w:val="000000" w:themeColor="text1"/>
        </w:rPr>
        <w:t>а</w:t>
      </w:r>
      <w:r w:rsidR="00B711E5" w:rsidRPr="00E13676">
        <w:rPr>
          <w:color w:val="000000" w:themeColor="text1"/>
        </w:rPr>
        <w:t xml:space="preserve"> </w:t>
      </w:r>
      <w:r w:rsidR="00732DEA" w:rsidRPr="00E13676">
        <w:rPr>
          <w:color w:val="000000" w:themeColor="text1"/>
        </w:rPr>
        <w:t>и/или местоположени</w:t>
      </w:r>
      <w:r w:rsidR="00397287">
        <w:rPr>
          <w:color w:val="000000" w:themeColor="text1"/>
        </w:rPr>
        <w:t>ята</w:t>
      </w:r>
      <w:r w:rsidR="00732DEA" w:rsidRPr="00E13676">
        <w:rPr>
          <w:color w:val="000000" w:themeColor="text1"/>
        </w:rPr>
        <w:t xml:space="preserve"> </w:t>
      </w:r>
      <w:r w:rsidR="00B711E5" w:rsidRPr="00E13676">
        <w:rPr>
          <w:color w:val="000000" w:themeColor="text1"/>
        </w:rPr>
        <w:t xml:space="preserve">на </w:t>
      </w:r>
      <w:r w:rsidR="00397287">
        <w:rPr>
          <w:color w:val="000000" w:themeColor="text1"/>
        </w:rPr>
        <w:t>населените места</w:t>
      </w:r>
      <w:r w:rsidR="00B711E5" w:rsidRPr="00E13676">
        <w:rPr>
          <w:color w:val="000000" w:themeColor="text1"/>
        </w:rPr>
        <w:t>, където ще се извърши инвестицията.</w:t>
      </w:r>
    </w:p>
    <w:p w:rsidR="003F1496" w:rsidRDefault="00B711E5"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color w:val="000000" w:themeColor="text1"/>
        </w:rPr>
      </w:pPr>
      <w:r w:rsidRPr="00E13676">
        <w:rPr>
          <w:color w:val="000000" w:themeColor="text1"/>
        </w:rPr>
        <w:t xml:space="preserve">Дълготрайните активи, придобити със средства по предложението за изпълнение на инвестиция, следва да бъдат използвани единствено </w:t>
      </w:r>
      <w:r w:rsidR="00F934CF">
        <w:rPr>
          <w:color w:val="000000" w:themeColor="text1"/>
        </w:rPr>
        <w:t>за района</w:t>
      </w:r>
      <w:r w:rsidRPr="00E13676">
        <w:rPr>
          <w:color w:val="000000" w:themeColor="text1"/>
        </w:rPr>
        <w:t>, за който се получава п</w:t>
      </w:r>
      <w:r w:rsidR="002C4738">
        <w:rPr>
          <w:color w:val="000000" w:themeColor="text1"/>
        </w:rPr>
        <w:t xml:space="preserve">омощта, да бъдат амортизируеми </w:t>
      </w:r>
      <w:r w:rsidRPr="00E13676">
        <w:rPr>
          <w:color w:val="000000" w:themeColor="text1"/>
        </w:rPr>
        <w:t>и да бъдат включени в активите на предприятието, получаващо помощта, съгласно приложимите счетоводни стандарти.</w:t>
      </w:r>
    </w:p>
    <w:p w:rsidR="002C4738" w:rsidRPr="00E13676" w:rsidRDefault="002C4738"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color w:val="000000" w:themeColor="text1"/>
        </w:rPr>
      </w:pPr>
      <w:r>
        <w:rPr>
          <w:lang w:eastAsia="fr-FR"/>
        </w:rPr>
        <w:lastRenderedPageBreak/>
        <w:t xml:space="preserve">Не могат да се предявяват разходи по сключени договори с лица, с които бенефициерът е свързан по смисъла на параграф първи от допълнителните разпоредби на Търговския закон и/или са обект на конфликт на интереси, освен ако тези договори не са сключени при спазване на изискванията на Глава 8а от ДОПК.  </w:t>
      </w:r>
    </w:p>
    <w:p w:rsidR="003F1496" w:rsidRPr="00E13676" w:rsidRDefault="003F1496" w:rsidP="007C388C">
      <w:pPr>
        <w:suppressAutoHyphens/>
        <w:spacing w:before="120" w:after="120" w:line="360" w:lineRule="auto"/>
        <w:jc w:val="both"/>
        <w:rPr>
          <w:b/>
          <w:color w:val="000000" w:themeColor="text1"/>
        </w:rPr>
      </w:pPr>
    </w:p>
    <w:p w:rsidR="003F1496" w:rsidRPr="00E13676" w:rsidRDefault="003F1496"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color w:val="000000" w:themeColor="text1"/>
        </w:rPr>
      </w:pPr>
      <w:r w:rsidRPr="00E13676">
        <w:rPr>
          <w:b/>
          <w:color w:val="000000" w:themeColor="text1"/>
        </w:rPr>
        <w:t xml:space="preserve">ВАЖНО: </w:t>
      </w:r>
      <w:r w:rsidRPr="00E13676">
        <w:rPr>
          <w:color w:val="000000" w:themeColor="text1"/>
        </w:rPr>
        <w:t>В случай че в резултат на извършването на даден разход бъдат осъществени допустима (съгласно т. 13.1 от Условията за кандидатстване) и недопустима дейност (съгласно т. 13.2 от Условията за кандидатстване), то този разход ще бъде изцяло премахнат от бюджета на съответното предложение за изпълнение на инвестиция.</w:t>
      </w:r>
    </w:p>
    <w:p w:rsidR="009417A7" w:rsidRPr="00E13676" w:rsidRDefault="009417A7" w:rsidP="007C388C">
      <w:pPr>
        <w:suppressAutoHyphens/>
        <w:spacing w:before="120" w:after="120" w:line="360" w:lineRule="auto"/>
        <w:jc w:val="both"/>
      </w:pPr>
    </w:p>
    <w:p w:rsidR="003F1496" w:rsidRDefault="003A7E2A" w:rsidP="007C388C">
      <w:pPr>
        <w:pStyle w:val="Heading3"/>
        <w:suppressAutoHyphens/>
        <w:spacing w:before="120" w:after="120" w:line="360" w:lineRule="auto"/>
        <w:rPr>
          <w:rFonts w:ascii="Times New Roman" w:hAnsi="Times New Roman"/>
          <w:sz w:val="24"/>
          <w:szCs w:val="24"/>
        </w:rPr>
      </w:pPr>
      <w:bookmarkStart w:id="47" w:name="_Toc106285937"/>
      <w:r>
        <w:rPr>
          <w:rFonts w:ascii="Times New Roman" w:hAnsi="Times New Roman"/>
          <w:sz w:val="24"/>
          <w:szCs w:val="24"/>
        </w:rPr>
        <w:t xml:space="preserve"> </w:t>
      </w:r>
      <w:bookmarkStart w:id="48" w:name="_Toc183440904"/>
      <w:r w:rsidR="003F1496" w:rsidRPr="00E13676">
        <w:rPr>
          <w:rFonts w:ascii="Times New Roman" w:hAnsi="Times New Roman"/>
          <w:sz w:val="24"/>
          <w:szCs w:val="24"/>
        </w:rPr>
        <w:t>1</w:t>
      </w:r>
      <w:r w:rsidR="007A3227" w:rsidRPr="00E13676">
        <w:rPr>
          <w:rFonts w:ascii="Times New Roman" w:hAnsi="Times New Roman"/>
          <w:sz w:val="24"/>
          <w:szCs w:val="24"/>
        </w:rPr>
        <w:t>4</w:t>
      </w:r>
      <w:r w:rsidR="003F1496" w:rsidRPr="00E13676">
        <w:rPr>
          <w:rFonts w:ascii="Times New Roman" w:hAnsi="Times New Roman"/>
          <w:sz w:val="24"/>
          <w:szCs w:val="24"/>
        </w:rPr>
        <w:t>.3. Недопустими разходи</w:t>
      </w:r>
      <w:bookmarkEnd w:id="47"/>
      <w:bookmarkEnd w:id="48"/>
    </w:p>
    <w:p w:rsidR="000A7A4F" w:rsidRPr="00693159" w:rsidRDefault="000A7A4F"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693159">
        <w:rPr>
          <w:rFonts w:ascii="Times New Roman" w:hAnsi="Times New Roman"/>
          <w:color w:val="000000" w:themeColor="text1"/>
          <w:sz w:val="24"/>
          <w:szCs w:val="24"/>
        </w:rPr>
        <w:t>Съществуват специфични изключения в рамките на критериите за допустимост, за да се гарантира, че помощта се използва стриктно за целта за подобряване на мрежовата инфраструктура;</w:t>
      </w:r>
    </w:p>
    <w:p w:rsidR="000A7A4F" w:rsidRPr="00693159" w:rsidRDefault="000A7A4F"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693159">
        <w:rPr>
          <w:rFonts w:ascii="Times New Roman" w:hAnsi="Times New Roman"/>
          <w:color w:val="000000" w:themeColor="text1"/>
          <w:sz w:val="24"/>
          <w:szCs w:val="24"/>
        </w:rPr>
        <w:t>Правни и регулаторни задължения: Разходите, направени за изпълнение на правни задължения или инвестиции, необходими за изпълнение на задълженията за покритие, свързани с правата за ползване на радиочестотния спектър, не се покриват от тази финансова помощ. Тази разпоредба гарантира, че помощта не се използва за компенсиране на разходите, които следва да бъдат покрити от самите притежатели на лицензи за радиочестотен спектър;</w:t>
      </w:r>
    </w:p>
    <w:p w:rsidR="000A7A4F" w:rsidRPr="00693159" w:rsidRDefault="000A7A4F"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693159">
        <w:rPr>
          <w:rFonts w:ascii="Times New Roman" w:hAnsi="Times New Roman"/>
          <w:color w:val="000000" w:themeColor="text1"/>
          <w:sz w:val="24"/>
          <w:szCs w:val="24"/>
        </w:rPr>
        <w:t xml:space="preserve">Задължения за покритие: Инфраструктурата, разработена с помощта на тази финансова подкрепа, няма да се счита за изпълнение на задължения за покритие, свързани с правата за ползване на радиочестотния спектър. </w:t>
      </w:r>
      <w:r w:rsidR="003A63C9">
        <w:rPr>
          <w:rFonts w:ascii="Times New Roman" w:hAnsi="Times New Roman"/>
          <w:color w:val="000000" w:themeColor="text1"/>
          <w:sz w:val="24"/>
          <w:szCs w:val="24"/>
        </w:rPr>
        <w:t xml:space="preserve">Кандидатите следва </w:t>
      </w:r>
      <w:r w:rsidRPr="00693159">
        <w:rPr>
          <w:rFonts w:ascii="Times New Roman" w:hAnsi="Times New Roman"/>
          <w:color w:val="000000" w:themeColor="text1"/>
          <w:sz w:val="24"/>
          <w:szCs w:val="24"/>
        </w:rPr>
        <w:t>официално да се ангажират в писмена форма да не докладват за разгръщането на тази инфраструктура за изпълнение на такива задължения за покритие;</w:t>
      </w:r>
    </w:p>
    <w:p w:rsidR="000A7A4F" w:rsidRPr="00693159" w:rsidRDefault="000A7A4F" w:rsidP="007C388C">
      <w:pPr>
        <w:pStyle w:val="ListParagraph"/>
        <w:numPr>
          <w:ilvl w:val="0"/>
          <w:numId w:val="29"/>
        </w:numPr>
        <w:suppressAutoHyphens/>
        <w:spacing w:line="360" w:lineRule="auto"/>
        <w:ind w:left="0" w:firstLine="567"/>
        <w:rPr>
          <w:color w:val="000000" w:themeColor="text1"/>
        </w:rPr>
      </w:pPr>
      <w:r w:rsidRPr="00693159">
        <w:rPr>
          <w:rFonts w:ascii="Times New Roman" w:hAnsi="Times New Roman"/>
          <w:color w:val="000000" w:themeColor="text1"/>
          <w:sz w:val="24"/>
          <w:szCs w:val="24"/>
        </w:rPr>
        <w:lastRenderedPageBreak/>
        <w:t>Тези насоки за допустимост на разходите имат за цел да улеснят прозрачното, ефикасно и ефективно разпределение и използване на финансовите ресурси, като по този начин насърчават развитието на стабилна и надеждна цифрова инфраструктура.</w:t>
      </w:r>
    </w:p>
    <w:p w:rsidR="000A7A4F" w:rsidRPr="000A7A4F" w:rsidRDefault="000A7A4F" w:rsidP="007C388C">
      <w:pPr>
        <w:spacing w:line="360" w:lineRule="auto"/>
      </w:pPr>
    </w:p>
    <w:p w:rsidR="003F1496" w:rsidRPr="00E13676" w:rsidRDefault="003F1496" w:rsidP="007C388C">
      <w:pPr>
        <w:suppressAutoHyphens/>
        <w:spacing w:before="120" w:after="120" w:line="360" w:lineRule="auto"/>
        <w:jc w:val="both"/>
        <w:rPr>
          <w:color w:val="000000" w:themeColor="text1"/>
        </w:rPr>
      </w:pPr>
      <w:r w:rsidRPr="00E13676">
        <w:rPr>
          <w:b/>
          <w:color w:val="000000" w:themeColor="text1"/>
        </w:rPr>
        <w:t>Недопустими</w:t>
      </w:r>
      <w:r w:rsidRPr="00E13676">
        <w:rPr>
          <w:color w:val="000000" w:themeColor="text1"/>
        </w:rPr>
        <w:t xml:space="preserve"> по процедурата са следните видове разходи: </w:t>
      </w:r>
    </w:p>
    <w:p w:rsidR="003F1496" w:rsidRPr="00A41617"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806E95">
        <w:rPr>
          <w:rFonts w:ascii="Times New Roman" w:hAnsi="Times New Roman"/>
          <w:color w:val="000000" w:themeColor="text1"/>
          <w:sz w:val="24"/>
          <w:szCs w:val="24"/>
        </w:rPr>
        <w:t xml:space="preserve">разходи за закупуване на </w:t>
      </w:r>
      <w:r w:rsidR="00F05389" w:rsidRPr="00806E95">
        <w:rPr>
          <w:rFonts w:ascii="Times New Roman" w:hAnsi="Times New Roman"/>
          <w:color w:val="000000" w:themeColor="text1"/>
          <w:sz w:val="24"/>
          <w:szCs w:val="24"/>
        </w:rPr>
        <w:t xml:space="preserve">ДМА </w:t>
      </w:r>
      <w:r w:rsidRPr="00806E95">
        <w:rPr>
          <w:rFonts w:ascii="Times New Roman" w:hAnsi="Times New Roman"/>
          <w:color w:val="000000" w:themeColor="text1"/>
          <w:sz w:val="24"/>
          <w:szCs w:val="24"/>
        </w:rPr>
        <w:t>дълготра</w:t>
      </w:r>
      <w:r w:rsidRPr="00A41617">
        <w:rPr>
          <w:rFonts w:ascii="Times New Roman" w:hAnsi="Times New Roman"/>
          <w:color w:val="000000" w:themeColor="text1"/>
          <w:sz w:val="24"/>
          <w:szCs w:val="24"/>
        </w:rPr>
        <w:t>йни активи втора употреба</w:t>
      </w:r>
      <w:r w:rsidR="00A41617" w:rsidRPr="00670C06">
        <w:rPr>
          <w:rFonts w:ascii="Times New Roman" w:hAnsi="Times New Roman"/>
          <w:color w:val="000000" w:themeColor="text1"/>
          <w:sz w:val="24"/>
          <w:szCs w:val="24"/>
        </w:rPr>
        <w:t>, с изключение на разходите за закупуване на съществуваща инфраструктура по т. 13.1</w:t>
      </w:r>
      <w:r w:rsidRPr="00A41617">
        <w:rPr>
          <w:rFonts w:ascii="Times New Roman" w:hAnsi="Times New Roman"/>
          <w:color w:val="000000" w:themeColor="text1"/>
          <w:sz w:val="24"/>
          <w:szCs w:val="24"/>
        </w:rPr>
        <w:t>;</w:t>
      </w:r>
    </w:p>
    <w:p w:rsidR="003F1496" w:rsidRPr="00806E95"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A41617">
        <w:rPr>
          <w:rFonts w:ascii="Times New Roman" w:hAnsi="Times New Roman"/>
          <w:color w:val="000000" w:themeColor="text1"/>
          <w:sz w:val="24"/>
          <w:szCs w:val="24"/>
        </w:rPr>
        <w:t>разходи, свързани с наемането на материални и нематериални акти</w:t>
      </w:r>
      <w:r w:rsidRPr="00806E95">
        <w:rPr>
          <w:rFonts w:ascii="Times New Roman" w:hAnsi="Times New Roman"/>
          <w:color w:val="000000" w:themeColor="text1"/>
          <w:sz w:val="24"/>
          <w:szCs w:val="24"/>
        </w:rPr>
        <w:t>ви</w:t>
      </w:r>
      <w:r w:rsidR="003258CA" w:rsidRPr="00806E95">
        <w:rPr>
          <w:rFonts w:ascii="Times New Roman" w:hAnsi="Times New Roman"/>
          <w:color w:val="000000" w:themeColor="text1"/>
          <w:sz w:val="24"/>
          <w:szCs w:val="24"/>
        </w:rPr>
        <w:t>, с изключение на учредяването на неотменимо право на ползване на инфраструктура или тъмно влакно (</w:t>
      </w:r>
      <w:r w:rsidR="003258CA" w:rsidRPr="00806E95">
        <w:rPr>
          <w:rFonts w:ascii="Times New Roman" w:hAnsi="Times New Roman"/>
          <w:color w:val="000000" w:themeColor="text1"/>
          <w:sz w:val="24"/>
          <w:szCs w:val="24"/>
          <w:lang w:val="en-US"/>
        </w:rPr>
        <w:t>IRU)</w:t>
      </w:r>
      <w:r w:rsidRPr="00806E95">
        <w:rPr>
          <w:rFonts w:ascii="Times New Roman" w:hAnsi="Times New Roman"/>
          <w:color w:val="000000" w:themeColor="text1"/>
          <w:sz w:val="24"/>
          <w:szCs w:val="24"/>
        </w:rPr>
        <w:t>;</w:t>
      </w:r>
    </w:p>
    <w:p w:rsidR="003F1496" w:rsidRPr="00806E95"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806E95">
        <w:rPr>
          <w:rFonts w:ascii="Times New Roman" w:hAnsi="Times New Roman"/>
          <w:color w:val="000000" w:themeColor="text1"/>
          <w:sz w:val="24"/>
          <w:szCs w:val="24"/>
        </w:rPr>
        <w:t>разходи за закупуване на земя и сгради;</w:t>
      </w:r>
    </w:p>
    <w:p w:rsidR="003F1496" w:rsidRPr="00806E95"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806E95">
        <w:rPr>
          <w:rFonts w:ascii="Times New Roman" w:hAnsi="Times New Roman"/>
          <w:color w:val="000000" w:themeColor="text1"/>
          <w:sz w:val="24"/>
          <w:szCs w:val="24"/>
        </w:rPr>
        <w:t>разходи за закупуване или наемане на транспортни средства;</w:t>
      </w:r>
    </w:p>
    <w:p w:rsidR="003F1496" w:rsidRPr="00806E95"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806E95">
        <w:rPr>
          <w:rFonts w:ascii="Times New Roman" w:hAnsi="Times New Roman"/>
          <w:color w:val="000000" w:themeColor="text1"/>
          <w:sz w:val="24"/>
          <w:szCs w:val="24"/>
        </w:rPr>
        <w:t>разходи за дейности, извършени след изтичане на крайния срок за изпълнение на дейностите по предложението за изпълнение на инвестиция;</w:t>
      </w:r>
    </w:p>
    <w:p w:rsidR="003F1496" w:rsidRPr="00806E95"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806E95">
        <w:rPr>
          <w:rFonts w:ascii="Times New Roman" w:hAnsi="Times New Roman"/>
          <w:color w:val="000000" w:themeColor="text1"/>
          <w:sz w:val="24"/>
          <w:szCs w:val="24"/>
        </w:rPr>
        <w:t xml:space="preserve">разходи за дейности, които вече са финансирани </w:t>
      </w:r>
      <w:r w:rsidR="008718ED" w:rsidRPr="00806E95">
        <w:rPr>
          <w:rFonts w:ascii="Times New Roman" w:hAnsi="Times New Roman"/>
          <w:color w:val="000000" w:themeColor="text1"/>
          <w:sz w:val="24"/>
          <w:szCs w:val="24"/>
        </w:rPr>
        <w:t>по друг проект, програма или каквато и да е друга финансова схема, произлизаща от националния бюджет, бюджета на Общността или друга донорска програма, които водят до надхвърляне на най-високия размер или интензитет на помощта, приложим за тази помощ</w:t>
      </w:r>
      <w:r w:rsidR="00EE222B" w:rsidRPr="00806E95">
        <w:rPr>
          <w:rFonts w:ascii="Times New Roman" w:hAnsi="Times New Roman"/>
          <w:color w:val="000000" w:themeColor="text1"/>
          <w:sz w:val="24"/>
          <w:szCs w:val="24"/>
        </w:rPr>
        <w:t>;</w:t>
      </w:r>
    </w:p>
    <w:p w:rsidR="003F1496" w:rsidRPr="00806E95"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806E95">
        <w:rPr>
          <w:rFonts w:ascii="Times New Roman" w:hAnsi="Times New Roman"/>
          <w:color w:val="000000" w:themeColor="text1"/>
          <w:sz w:val="24"/>
          <w:szCs w:val="24"/>
        </w:rPr>
        <w:t>разходи, които не съблюдават съответното законодателство на ЕС и национално законодателство в областта на околната среда;</w:t>
      </w:r>
    </w:p>
    <w:p w:rsidR="003F1496" w:rsidRPr="00806E95"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806E95">
        <w:rPr>
          <w:rFonts w:ascii="Times New Roman" w:hAnsi="Times New Roman"/>
          <w:color w:val="000000" w:themeColor="text1"/>
          <w:sz w:val="24"/>
          <w:szCs w:val="24"/>
        </w:rPr>
        <w:t>разходи, които не са включени във Формуляра за кандидатстване;</w:t>
      </w:r>
    </w:p>
    <w:p w:rsidR="003F1496" w:rsidRPr="00806E95"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806E95">
        <w:rPr>
          <w:rFonts w:ascii="Times New Roman" w:hAnsi="Times New Roman"/>
          <w:color w:val="000000" w:themeColor="text1"/>
          <w:sz w:val="24"/>
          <w:szCs w:val="24"/>
        </w:rPr>
        <w:t>разходи за застраховки на закупеното оборудване;</w:t>
      </w:r>
    </w:p>
    <w:p w:rsidR="003F1496" w:rsidRPr="00806E95"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806E95">
        <w:rPr>
          <w:rFonts w:ascii="Times New Roman" w:hAnsi="Times New Roman"/>
          <w:color w:val="000000" w:themeColor="text1"/>
          <w:sz w:val="24"/>
          <w:szCs w:val="24"/>
        </w:rPr>
        <w:t>разходи за възстановим ДДС;</w:t>
      </w:r>
    </w:p>
    <w:p w:rsidR="003F1496" w:rsidRDefault="003F1496" w:rsidP="007C388C">
      <w:pPr>
        <w:pStyle w:val="ListParagraph"/>
        <w:numPr>
          <w:ilvl w:val="0"/>
          <w:numId w:val="29"/>
        </w:numPr>
        <w:suppressAutoHyphens/>
        <w:spacing w:line="360" w:lineRule="auto"/>
        <w:ind w:left="0" w:firstLine="567"/>
        <w:rPr>
          <w:rFonts w:ascii="Times New Roman" w:hAnsi="Times New Roman"/>
          <w:color w:val="000000" w:themeColor="text1"/>
          <w:sz w:val="24"/>
          <w:szCs w:val="24"/>
        </w:rPr>
      </w:pPr>
      <w:r w:rsidRPr="00806E95">
        <w:rPr>
          <w:rFonts w:ascii="Times New Roman" w:hAnsi="Times New Roman"/>
          <w:color w:val="000000" w:themeColor="text1"/>
          <w:sz w:val="24"/>
          <w:szCs w:val="24"/>
        </w:rPr>
        <w:t>всички разходи, които не са предназначени за допустими дейности съгласно настоящата процедура,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тази дейност е допустима.</w:t>
      </w:r>
    </w:p>
    <w:p w:rsidR="00806E95" w:rsidRPr="00806E95" w:rsidRDefault="00806E95" w:rsidP="007C388C">
      <w:pPr>
        <w:pStyle w:val="ListParagraph"/>
        <w:suppressAutoHyphens/>
        <w:spacing w:line="360" w:lineRule="auto"/>
        <w:ind w:left="567"/>
        <w:rPr>
          <w:rFonts w:ascii="Times New Roman" w:hAnsi="Times New Roman"/>
          <w:color w:val="000000" w:themeColor="text1"/>
          <w:sz w:val="24"/>
          <w:szCs w:val="24"/>
        </w:rPr>
      </w:pPr>
    </w:p>
    <w:p w:rsidR="003F1496" w:rsidRPr="00E13676" w:rsidRDefault="003F1496" w:rsidP="007C388C">
      <w:pPr>
        <w:pStyle w:val="Heading2"/>
        <w:suppressAutoHyphens/>
        <w:spacing w:after="120" w:line="360" w:lineRule="auto"/>
        <w:rPr>
          <w:rFonts w:ascii="Times New Roman" w:hAnsi="Times New Roman"/>
          <w:sz w:val="24"/>
          <w:szCs w:val="24"/>
        </w:rPr>
      </w:pPr>
      <w:bookmarkStart w:id="49" w:name="_Toc106285938"/>
      <w:bookmarkStart w:id="50" w:name="_Toc183440905"/>
      <w:r w:rsidRPr="00E13676">
        <w:rPr>
          <w:rFonts w:ascii="Times New Roman" w:hAnsi="Times New Roman"/>
          <w:sz w:val="24"/>
          <w:szCs w:val="24"/>
        </w:rPr>
        <w:lastRenderedPageBreak/>
        <w:t>1</w:t>
      </w:r>
      <w:r w:rsidR="007A3227" w:rsidRPr="00E13676">
        <w:rPr>
          <w:rFonts w:ascii="Times New Roman" w:hAnsi="Times New Roman"/>
          <w:sz w:val="24"/>
          <w:szCs w:val="24"/>
        </w:rPr>
        <w:t>5</w:t>
      </w:r>
      <w:r w:rsidRPr="00E13676">
        <w:rPr>
          <w:rFonts w:ascii="Times New Roman" w:hAnsi="Times New Roman"/>
          <w:sz w:val="24"/>
          <w:szCs w:val="24"/>
        </w:rPr>
        <w:t>. Допустими целеви групи:</w:t>
      </w:r>
      <w:bookmarkEnd w:id="49"/>
      <w:bookmarkEnd w:id="50"/>
    </w:p>
    <w:p w:rsidR="00135B88" w:rsidRDefault="003C7B46" w:rsidP="007C388C">
      <w:pPr>
        <w:suppressAutoHyphens/>
        <w:spacing w:before="120" w:after="120" w:line="360" w:lineRule="auto"/>
        <w:jc w:val="both"/>
        <w:rPr>
          <w:color w:val="000000" w:themeColor="text1"/>
          <w:lang w:val="en-US"/>
        </w:rPr>
      </w:pPr>
      <w:r w:rsidRPr="00690625">
        <w:rPr>
          <w:color w:val="000000" w:themeColor="text1"/>
        </w:rPr>
        <w:t xml:space="preserve">Участник в процедурата може да бъде всяко българско или чуждестранно физическо или юридическо лице или техни сдружения, както и всяко друго лице, което има право да извършва строителство, доставки и услуги съгласно законодателството на държавата, в която е установено, и </w:t>
      </w:r>
      <w:r w:rsidR="00135B88" w:rsidRPr="00135B88">
        <w:rPr>
          <w:color w:val="000000" w:themeColor="text1"/>
        </w:rPr>
        <w:t>има разрешение за използване на спектър в честотни ленти 2,6 GHz, 3,6 GHz, 700 MHz, 800 MHz, 900 MHz, 26 GHz или има споразумение с партньор, който има такова разрешение.</w:t>
      </w:r>
      <w:r w:rsidR="00135B88">
        <w:rPr>
          <w:color w:val="000000" w:themeColor="text1"/>
          <w:lang w:val="en-US"/>
        </w:rPr>
        <w:t xml:space="preserve"> </w:t>
      </w:r>
    </w:p>
    <w:p w:rsidR="009B2876" w:rsidRPr="00E13676" w:rsidRDefault="009B2876" w:rsidP="007C388C">
      <w:pPr>
        <w:suppressAutoHyphens/>
        <w:spacing w:before="120" w:after="120" w:line="360" w:lineRule="auto"/>
        <w:jc w:val="both"/>
        <w:rPr>
          <w:b/>
        </w:rPr>
      </w:pPr>
    </w:p>
    <w:p w:rsidR="003F1496" w:rsidRPr="00E13676" w:rsidRDefault="003F1496" w:rsidP="007C388C">
      <w:pPr>
        <w:pStyle w:val="Heading2"/>
        <w:suppressAutoHyphens/>
        <w:spacing w:after="120" w:line="360" w:lineRule="auto"/>
        <w:rPr>
          <w:rFonts w:ascii="Times New Roman" w:hAnsi="Times New Roman"/>
          <w:sz w:val="24"/>
          <w:szCs w:val="24"/>
        </w:rPr>
      </w:pPr>
      <w:bookmarkStart w:id="51" w:name="_Toc106285940"/>
      <w:bookmarkStart w:id="52" w:name="_Toc183440906"/>
      <w:r w:rsidRPr="00E13676">
        <w:rPr>
          <w:rFonts w:ascii="Times New Roman" w:hAnsi="Times New Roman"/>
          <w:sz w:val="24"/>
          <w:szCs w:val="24"/>
        </w:rPr>
        <w:t>1</w:t>
      </w:r>
      <w:r w:rsidR="007A3227" w:rsidRPr="00E13676">
        <w:rPr>
          <w:rFonts w:ascii="Times New Roman" w:hAnsi="Times New Roman"/>
          <w:sz w:val="24"/>
          <w:szCs w:val="24"/>
        </w:rPr>
        <w:t>6</w:t>
      </w:r>
      <w:r w:rsidRPr="00E13676">
        <w:rPr>
          <w:rFonts w:ascii="Times New Roman" w:hAnsi="Times New Roman"/>
          <w:sz w:val="24"/>
          <w:szCs w:val="24"/>
        </w:rPr>
        <w:t>. Приложими хоризонтални принципи:</w:t>
      </w:r>
      <w:bookmarkEnd w:id="51"/>
      <w:bookmarkEnd w:id="52"/>
    </w:p>
    <w:p w:rsidR="00323EEA" w:rsidRPr="00E13676" w:rsidRDefault="00323EEA" w:rsidP="007C388C">
      <w:pPr>
        <w:suppressAutoHyphens/>
        <w:spacing w:before="120" w:after="120" w:line="360" w:lineRule="auto"/>
        <w:jc w:val="both"/>
      </w:pPr>
      <w:r w:rsidRPr="00E13676">
        <w:t xml:space="preserve">По настоящата процедура следва да е налице съответствие на предложенията за изпълнение на инвестиция със следните принципи: </w:t>
      </w:r>
    </w:p>
    <w:p w:rsidR="00323EEA" w:rsidRPr="00E13676" w:rsidRDefault="00323EEA" w:rsidP="007C388C">
      <w:pPr>
        <w:suppressAutoHyphens/>
        <w:spacing w:before="120" w:after="120" w:line="360" w:lineRule="auto"/>
        <w:jc w:val="both"/>
      </w:pPr>
      <w:r w:rsidRPr="00E13676">
        <w:rPr>
          <w:b/>
        </w:rPr>
        <w:t>1)</w:t>
      </w:r>
      <w:r w:rsidRPr="00E13676">
        <w:t xml:space="preserve"> Предложенията за изпълнение на инвестиции следва да са в съответствие с принципа за </w:t>
      </w:r>
      <w:r w:rsidR="00693620">
        <w:t>„</w:t>
      </w:r>
      <w:r w:rsidRPr="00E13676">
        <w:t>ненанасяне на значителни вреди</w:t>
      </w:r>
      <w:r w:rsidR="00693620">
        <w:t>“</w:t>
      </w:r>
      <w:r w:rsidRPr="00E13676">
        <w:rPr>
          <w:rStyle w:val="FootnoteReference"/>
        </w:rPr>
        <w:footnoteReference w:id="6"/>
      </w:r>
      <w:r w:rsidRPr="00E13676">
        <w:t>.</w:t>
      </w:r>
    </w:p>
    <w:p w:rsidR="00323EEA" w:rsidRPr="00E13676" w:rsidRDefault="00323EEA" w:rsidP="007C388C">
      <w:pPr>
        <w:suppressAutoHyphens/>
        <w:spacing w:before="120" w:after="120" w:line="360" w:lineRule="auto"/>
        <w:jc w:val="both"/>
      </w:pPr>
      <w:r w:rsidRPr="00E13676">
        <w:t xml:space="preserve">Посоченият принцип изисква предложенията за изпълнение на инвестиции по настоящата процедура да НЕ водят до значителни вреди за следните </w:t>
      </w:r>
      <w:r w:rsidRPr="00E13676">
        <w:rPr>
          <w:b/>
        </w:rPr>
        <w:t>шест екологични цели</w:t>
      </w:r>
      <w:r w:rsidRPr="00E13676">
        <w:t>:</w:t>
      </w:r>
    </w:p>
    <w:p w:rsidR="00323EEA" w:rsidRPr="00E13676" w:rsidRDefault="00323EEA" w:rsidP="007C388C">
      <w:pPr>
        <w:suppressAutoHyphens/>
        <w:spacing w:before="120" w:after="120" w:line="360" w:lineRule="auto"/>
        <w:jc w:val="both"/>
      </w:pPr>
      <w:r w:rsidRPr="00E13676">
        <w:t>а) смекчаване на изменението на климата;</w:t>
      </w:r>
    </w:p>
    <w:p w:rsidR="00323EEA" w:rsidRPr="00E13676" w:rsidRDefault="00323EEA" w:rsidP="007C388C">
      <w:pPr>
        <w:suppressAutoHyphens/>
        <w:spacing w:before="120" w:after="120" w:line="360" w:lineRule="auto"/>
        <w:jc w:val="both"/>
      </w:pPr>
      <w:r w:rsidRPr="00E13676">
        <w:t>б) адаптиране към изменението на климата;</w:t>
      </w:r>
    </w:p>
    <w:p w:rsidR="00323EEA" w:rsidRPr="00E13676" w:rsidRDefault="00323EEA" w:rsidP="007C388C">
      <w:pPr>
        <w:suppressAutoHyphens/>
        <w:spacing w:before="120" w:after="120" w:line="360" w:lineRule="auto"/>
        <w:jc w:val="both"/>
      </w:pPr>
      <w:r w:rsidRPr="00E13676">
        <w:t>в) устойчиво използване и опазване на водните и морските ресурси;</w:t>
      </w:r>
    </w:p>
    <w:p w:rsidR="00323EEA" w:rsidRPr="00E13676" w:rsidRDefault="00323EEA" w:rsidP="007C388C">
      <w:pPr>
        <w:suppressAutoHyphens/>
        <w:spacing w:before="120" w:after="120" w:line="360" w:lineRule="auto"/>
        <w:jc w:val="both"/>
      </w:pPr>
      <w:r w:rsidRPr="00E13676">
        <w:t>г) преход към кръгова икономика;</w:t>
      </w:r>
    </w:p>
    <w:p w:rsidR="00323EEA" w:rsidRPr="00E13676" w:rsidRDefault="00323EEA" w:rsidP="007C388C">
      <w:pPr>
        <w:suppressAutoHyphens/>
        <w:spacing w:before="120" w:after="120" w:line="360" w:lineRule="auto"/>
        <w:jc w:val="both"/>
      </w:pPr>
      <w:r w:rsidRPr="00E13676">
        <w:t>д) предотвратяване и контрол на замърсяването;</w:t>
      </w:r>
    </w:p>
    <w:p w:rsidR="00323EEA" w:rsidRPr="00E13676" w:rsidRDefault="00323EEA" w:rsidP="007C388C">
      <w:pPr>
        <w:suppressAutoHyphens/>
        <w:spacing w:before="120" w:after="120" w:line="360" w:lineRule="auto"/>
        <w:jc w:val="both"/>
      </w:pPr>
      <w:r w:rsidRPr="00E13676">
        <w:t>е) защита и възстановяване на биологичното разнообразие и екосистемите.</w:t>
      </w:r>
    </w:p>
    <w:p w:rsidR="00323EEA" w:rsidRPr="00E13676" w:rsidRDefault="00323EEA" w:rsidP="007C388C">
      <w:pPr>
        <w:suppressAutoHyphens/>
        <w:spacing w:before="120" w:after="120" w:line="360" w:lineRule="auto"/>
        <w:jc w:val="both"/>
        <w:rPr>
          <w:b/>
        </w:rPr>
      </w:pPr>
      <w:r w:rsidRPr="00E13676">
        <w:rPr>
          <w:b/>
        </w:rPr>
        <w:lastRenderedPageBreak/>
        <w:t xml:space="preserve">Подробна информация относно спазване на принципа за </w:t>
      </w:r>
      <w:r w:rsidR="00A436B8">
        <w:rPr>
          <w:b/>
        </w:rPr>
        <w:t>„</w:t>
      </w:r>
      <w:r w:rsidRPr="00E13676">
        <w:rPr>
          <w:b/>
        </w:rPr>
        <w:t>ненанасяне на значителни вреди</w:t>
      </w:r>
      <w:r w:rsidR="00A436B8">
        <w:rPr>
          <w:b/>
        </w:rPr>
        <w:t>“</w:t>
      </w:r>
      <w:r w:rsidRPr="00E13676">
        <w:rPr>
          <w:b/>
        </w:rPr>
        <w:t xml:space="preserve"> е налична в Приложение </w:t>
      </w:r>
      <w:r w:rsidR="0013228F" w:rsidRPr="00E13676">
        <w:rPr>
          <w:b/>
        </w:rPr>
        <w:t>6</w:t>
      </w:r>
      <w:r w:rsidRPr="00E13676">
        <w:rPr>
          <w:b/>
        </w:rPr>
        <w:t xml:space="preserve"> към Условията за кандидатстване.</w:t>
      </w:r>
    </w:p>
    <w:p w:rsidR="00323EEA" w:rsidRPr="00E13676" w:rsidRDefault="00323EEA"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pPr>
      <w:r w:rsidRPr="00E13676">
        <w:rPr>
          <w:b/>
        </w:rPr>
        <w:t xml:space="preserve">ВАЖНО: </w:t>
      </w:r>
      <w:r w:rsidRPr="00E13676">
        <w:t>Спазването на този принцип се установява:</w:t>
      </w:r>
    </w:p>
    <w:p w:rsidR="00323EEA" w:rsidRPr="00E13676" w:rsidRDefault="00323EEA"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pPr>
      <w:r w:rsidRPr="00E13676">
        <w:t>1.1. На етапа на кандидатстване – чрез:</w:t>
      </w:r>
    </w:p>
    <w:p w:rsidR="00323EEA" w:rsidRPr="00E13676" w:rsidRDefault="00323EEA" w:rsidP="009258C5">
      <w:pPr>
        <w:pBdr>
          <w:top w:val="double" w:sz="4" w:space="1" w:color="538135"/>
          <w:left w:val="double" w:sz="4" w:space="4" w:color="538135"/>
          <w:bottom w:val="double" w:sz="4" w:space="1" w:color="538135"/>
          <w:right w:val="double" w:sz="4" w:space="4" w:color="538135"/>
        </w:pBdr>
        <w:tabs>
          <w:tab w:val="left" w:pos="284"/>
        </w:tabs>
        <w:suppressAutoHyphens/>
        <w:spacing w:before="120" w:after="120" w:line="360" w:lineRule="auto"/>
        <w:jc w:val="both"/>
      </w:pPr>
      <w:r w:rsidRPr="00E13676">
        <w:t>-</w:t>
      </w:r>
      <w:r w:rsidRPr="00E13676">
        <w:tab/>
        <w:t xml:space="preserve">самооценка (обосновка) от кандидатите чрез попълване на </w:t>
      </w:r>
      <w:bookmarkStart w:id="53" w:name="_Hlk146559436"/>
      <w:r w:rsidRPr="00E13676">
        <w:t xml:space="preserve">формуляр за самооценка (по образец) – </w:t>
      </w:r>
      <w:r w:rsidR="002D2553" w:rsidRPr="00E13676">
        <w:t>П</w:t>
      </w:r>
      <w:r w:rsidRPr="00E13676">
        <w:t xml:space="preserve">риложение </w:t>
      </w:r>
      <w:r w:rsidR="0013228F" w:rsidRPr="00E13676">
        <w:t>7</w:t>
      </w:r>
      <w:r w:rsidR="002D2553" w:rsidRPr="00E13676">
        <w:t xml:space="preserve"> </w:t>
      </w:r>
      <w:bookmarkEnd w:id="53"/>
      <w:r w:rsidRPr="00E13676">
        <w:t xml:space="preserve">към формуляра за кандидатстване, че предложението за изпълнение на инвестиция съблюдава принципа за </w:t>
      </w:r>
      <w:r w:rsidR="007A3BDE">
        <w:t>„</w:t>
      </w:r>
      <w:r w:rsidRPr="00E13676">
        <w:t>ненанасяне на значителни вреди</w:t>
      </w:r>
      <w:r w:rsidR="007A3BDE">
        <w:t>“</w:t>
      </w:r>
      <w:r w:rsidRPr="00E13676">
        <w:t xml:space="preserve"> по отношение на всяка от шестте екологични цели, определени в член 9 на Регламент (ЕС) 2020/852 за създаване на рамка за улесняване на устойчивите инвестиции  и за изменение на Регламент (ЕС) 2019/2088 (</w:t>
      </w:r>
      <w:r w:rsidR="007A3BDE">
        <w:t>„</w:t>
      </w:r>
      <w:r w:rsidRPr="00E13676">
        <w:t>регламент за таксономията</w:t>
      </w:r>
      <w:r w:rsidR="007A3BDE">
        <w:t>“</w:t>
      </w:r>
      <w:r w:rsidRPr="00E13676">
        <w:t xml:space="preserve">), а именно: а) смекчаване на изменението на климата; б) адаптиране към изменението на климата; в) устойчиво използване и опазване на водните и морските ресурси; г) преход към кръгова икономика; д) предотвратяване и контрол на замърсяването; е) защита и възстановяване на водното биоразнообразие и на водните екосистеми, в съответствие с Техническите насоки на ЕК </w:t>
      </w:r>
      <w:r w:rsidR="007A3BDE">
        <w:t>„</w:t>
      </w:r>
      <w:r w:rsidRPr="00E13676">
        <w:t>Ненанасяне на значителни вреди</w:t>
      </w:r>
      <w:r w:rsidR="007A3BDE">
        <w:t>“</w:t>
      </w:r>
      <w:r w:rsidRPr="00E13676">
        <w:t xml:space="preserve"> (2021/C58/01); </w:t>
      </w:r>
    </w:p>
    <w:p w:rsidR="00323EEA" w:rsidRPr="00E13676" w:rsidRDefault="00323EEA" w:rsidP="009258C5">
      <w:pPr>
        <w:pBdr>
          <w:top w:val="double" w:sz="4" w:space="1" w:color="538135"/>
          <w:left w:val="double" w:sz="4" w:space="4" w:color="538135"/>
          <w:bottom w:val="double" w:sz="4" w:space="1" w:color="538135"/>
          <w:right w:val="double" w:sz="4" w:space="4" w:color="538135"/>
        </w:pBdr>
        <w:tabs>
          <w:tab w:val="left" w:pos="284"/>
        </w:tabs>
        <w:suppressAutoHyphens/>
        <w:spacing w:before="120" w:after="120" w:line="360" w:lineRule="auto"/>
        <w:jc w:val="both"/>
      </w:pPr>
      <w:r w:rsidRPr="00E13676">
        <w:t>-</w:t>
      </w:r>
      <w:r w:rsidRPr="00E13676">
        <w:tab/>
        <w:t xml:space="preserve">проверка за приемливост на самооценката от оценителната комисия като част от оценката за допустимост на предложението за изпълнение на инвестиция. Липсата на обоснована информация във Формуляра за самооценка, която да дава увереност за съответствие на предложението с принципа за </w:t>
      </w:r>
      <w:r w:rsidR="007A3BDE">
        <w:t>„</w:t>
      </w:r>
      <w:r w:rsidRPr="00E13676">
        <w:t>ненанасяне на значителни вреди</w:t>
      </w:r>
      <w:r w:rsidR="007A3BDE">
        <w:t>“</w:t>
      </w:r>
      <w:r w:rsidRPr="00E13676">
        <w:t xml:space="preserve">, ще бъде основание за </w:t>
      </w:r>
      <w:r w:rsidRPr="00E13676">
        <w:rPr>
          <w:b/>
        </w:rPr>
        <w:t>отхвърляне на съответното предложение за изпълнение на инвестиция</w:t>
      </w:r>
      <w:r w:rsidRPr="00E13676">
        <w:t>.</w:t>
      </w:r>
    </w:p>
    <w:p w:rsidR="00323EEA" w:rsidRPr="00E13676" w:rsidRDefault="00323EEA"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pPr>
      <w:r w:rsidRPr="00E13676">
        <w:t xml:space="preserve">Инструкции за попълването на формуляра за самооценка относно съблюдаване на принципа за ненанасяне на значителни вреди са дадени в документа </w:t>
      </w:r>
      <w:r w:rsidR="0013228F" w:rsidRPr="00E13676">
        <w:t>Информация относно спазване на принципа за „ненанасяне на значителни вреди</w:t>
      </w:r>
      <w:r w:rsidR="00BF100B">
        <w:t>“</w:t>
      </w:r>
      <w:r w:rsidRPr="00E13676">
        <w:t xml:space="preserve"> – </w:t>
      </w:r>
      <w:r w:rsidR="009E1720" w:rsidRPr="00E13676">
        <w:t>П</w:t>
      </w:r>
      <w:r w:rsidRPr="00E13676">
        <w:t xml:space="preserve">риложение </w:t>
      </w:r>
      <w:r w:rsidR="0013228F" w:rsidRPr="00E13676">
        <w:t>6</w:t>
      </w:r>
      <w:r w:rsidRPr="00E13676">
        <w:t xml:space="preserve"> към настоящите Условия за кандидатстване.</w:t>
      </w:r>
    </w:p>
    <w:p w:rsidR="00323EEA" w:rsidRPr="00E13676" w:rsidRDefault="00323EEA"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pPr>
      <w:r w:rsidRPr="00E13676">
        <w:t xml:space="preserve">1.2. В края на изпълнението на инвестицията – чрез контрол от страна на СНД, включително, ако е необходимо, чрез изготвен от независим одитор технически доклад </w:t>
      </w:r>
      <w:r w:rsidRPr="00E13676">
        <w:lastRenderedPageBreak/>
        <w:t xml:space="preserve">за удостоверяване на спазването на изискванията на Техническите насоки за прилагането на принципа за </w:t>
      </w:r>
      <w:r w:rsidR="00D550DE">
        <w:t>„</w:t>
      </w:r>
      <w:r w:rsidRPr="00E13676">
        <w:t>ненанасяне на значителни вреди</w:t>
      </w:r>
      <w:r w:rsidR="00D550DE">
        <w:t>“</w:t>
      </w:r>
      <w:r w:rsidRPr="00E13676">
        <w:t xml:space="preserve"> съгласно Регламента за Механизма за възстановяване и устойчивост (2021/C 58/01) за сметка на бенефицие</w:t>
      </w:r>
      <w:r w:rsidR="004F7356">
        <w:t>ра</w:t>
      </w:r>
      <w:r w:rsidRPr="00E13676">
        <w:t>.</w:t>
      </w:r>
    </w:p>
    <w:p w:rsidR="003F1496" w:rsidRPr="00E13676" w:rsidRDefault="003F1496" w:rsidP="007C388C">
      <w:pPr>
        <w:suppressAutoHyphens/>
        <w:spacing w:before="120" w:after="120" w:line="360" w:lineRule="auto"/>
        <w:jc w:val="both"/>
        <w:rPr>
          <w:b/>
        </w:rPr>
      </w:pPr>
    </w:p>
    <w:p w:rsidR="003F1496" w:rsidRPr="00E13676" w:rsidRDefault="003F1496" w:rsidP="007C388C">
      <w:pPr>
        <w:pStyle w:val="Heading2"/>
        <w:suppressAutoHyphens/>
        <w:spacing w:after="120" w:line="360" w:lineRule="auto"/>
        <w:rPr>
          <w:rFonts w:ascii="Times New Roman" w:hAnsi="Times New Roman"/>
          <w:sz w:val="24"/>
          <w:szCs w:val="24"/>
        </w:rPr>
      </w:pPr>
      <w:bookmarkStart w:id="54" w:name="_Toc106285941"/>
      <w:bookmarkStart w:id="55" w:name="_Toc183440907"/>
      <w:r w:rsidRPr="00E13676">
        <w:rPr>
          <w:rFonts w:ascii="Times New Roman" w:hAnsi="Times New Roman"/>
          <w:sz w:val="24"/>
          <w:szCs w:val="24"/>
        </w:rPr>
        <w:t>1</w:t>
      </w:r>
      <w:r w:rsidR="007A3227" w:rsidRPr="00E13676">
        <w:rPr>
          <w:rFonts w:ascii="Times New Roman" w:hAnsi="Times New Roman"/>
          <w:sz w:val="24"/>
          <w:szCs w:val="24"/>
        </w:rPr>
        <w:t>7</w:t>
      </w:r>
      <w:r w:rsidR="008A60C4">
        <w:rPr>
          <w:rFonts w:ascii="Times New Roman" w:hAnsi="Times New Roman"/>
          <w:sz w:val="24"/>
          <w:szCs w:val="24"/>
        </w:rPr>
        <w:t>. М</w:t>
      </w:r>
      <w:r w:rsidRPr="00E13676">
        <w:rPr>
          <w:rFonts w:ascii="Times New Roman" w:hAnsi="Times New Roman"/>
          <w:sz w:val="24"/>
          <w:szCs w:val="24"/>
        </w:rPr>
        <w:t>аксимален срок за изпълнение на предложението за изпълнение на инвестиция:</w:t>
      </w:r>
      <w:bookmarkEnd w:id="54"/>
      <w:bookmarkEnd w:id="55"/>
    </w:p>
    <w:p w:rsidR="003F1496" w:rsidRDefault="008B2C23" w:rsidP="007C388C">
      <w:pPr>
        <w:suppressAutoHyphens/>
        <w:spacing w:before="120" w:after="120" w:line="360" w:lineRule="auto"/>
        <w:jc w:val="both"/>
        <w:rPr>
          <w:color w:val="000000" w:themeColor="text1"/>
        </w:rPr>
      </w:pPr>
      <w:r w:rsidRPr="00E13676">
        <w:rPr>
          <w:color w:val="000000" w:themeColor="text1"/>
        </w:rPr>
        <w:t>Инвестицията следва да се реализира</w:t>
      </w:r>
      <w:r w:rsidR="003C00D5" w:rsidRPr="00E13676">
        <w:rPr>
          <w:color w:val="000000" w:themeColor="text1"/>
        </w:rPr>
        <w:t xml:space="preserve"> </w:t>
      </w:r>
      <w:r w:rsidRPr="00E13676">
        <w:rPr>
          <w:color w:val="000000" w:themeColor="text1"/>
        </w:rPr>
        <w:t>най-късно до 3</w:t>
      </w:r>
      <w:r w:rsidR="00FE44B9">
        <w:rPr>
          <w:color w:val="000000" w:themeColor="text1"/>
        </w:rPr>
        <w:t>0</w:t>
      </w:r>
      <w:r w:rsidRPr="00E13676">
        <w:rPr>
          <w:color w:val="000000" w:themeColor="text1"/>
        </w:rPr>
        <w:t xml:space="preserve"> </w:t>
      </w:r>
      <w:r w:rsidR="00FE44B9">
        <w:rPr>
          <w:color w:val="000000" w:themeColor="text1"/>
        </w:rPr>
        <w:t>юни</w:t>
      </w:r>
      <w:r w:rsidRPr="00E13676">
        <w:rPr>
          <w:color w:val="000000" w:themeColor="text1"/>
        </w:rPr>
        <w:t xml:space="preserve"> 2026 г.</w:t>
      </w:r>
    </w:p>
    <w:p w:rsidR="006E35EF" w:rsidRPr="00E13676" w:rsidRDefault="006E35EF" w:rsidP="007C388C">
      <w:pPr>
        <w:suppressAutoHyphens/>
        <w:spacing w:before="120" w:after="120" w:line="360" w:lineRule="auto"/>
        <w:jc w:val="both"/>
        <w:rPr>
          <w:color w:val="000000" w:themeColor="text1"/>
        </w:rPr>
      </w:pPr>
    </w:p>
    <w:p w:rsidR="003F1496" w:rsidRPr="00E13676" w:rsidRDefault="003F1496" w:rsidP="007C388C">
      <w:pPr>
        <w:pStyle w:val="Heading2"/>
        <w:suppressAutoHyphens/>
        <w:spacing w:after="120" w:line="360" w:lineRule="auto"/>
        <w:rPr>
          <w:rFonts w:ascii="Times New Roman" w:hAnsi="Times New Roman"/>
          <w:sz w:val="24"/>
          <w:szCs w:val="24"/>
        </w:rPr>
      </w:pPr>
      <w:bookmarkStart w:id="56" w:name="_Toc106285944"/>
      <w:bookmarkStart w:id="57" w:name="_Toc183440908"/>
      <w:r w:rsidRPr="00E13676">
        <w:rPr>
          <w:rFonts w:ascii="Times New Roman" w:hAnsi="Times New Roman"/>
          <w:sz w:val="24"/>
          <w:szCs w:val="24"/>
        </w:rPr>
        <w:t>1</w:t>
      </w:r>
      <w:r w:rsidR="009E1720" w:rsidRPr="00E13676">
        <w:rPr>
          <w:rFonts w:ascii="Times New Roman" w:hAnsi="Times New Roman"/>
          <w:sz w:val="24"/>
          <w:szCs w:val="24"/>
        </w:rPr>
        <w:t>8</w:t>
      </w:r>
      <w:r w:rsidRPr="00E13676">
        <w:rPr>
          <w:rFonts w:ascii="Times New Roman" w:hAnsi="Times New Roman"/>
          <w:sz w:val="24"/>
          <w:szCs w:val="24"/>
        </w:rPr>
        <w:t>. Ред за оценяване на предложенията за изпълнение на инвестиция:</w:t>
      </w:r>
      <w:bookmarkEnd w:id="56"/>
      <w:bookmarkEnd w:id="57"/>
    </w:p>
    <w:p w:rsidR="008A60C4" w:rsidRDefault="003C00D5" w:rsidP="007C388C">
      <w:pPr>
        <w:spacing w:before="120" w:after="120" w:line="360" w:lineRule="auto"/>
        <w:jc w:val="both"/>
      </w:pPr>
      <w:r w:rsidRPr="00E13676">
        <w:t xml:space="preserve">Получаване на средства по настоящата инвестиция ще се извършва след провеждане на </w:t>
      </w:r>
      <w:r w:rsidR="008A60C4" w:rsidRPr="008A60C4">
        <w:t>открита, прозрачна и недискриминационна състезателна процедура за подбор, при спазване на принципа на технологична неутралност, въз основа на икономически най-изгодната оферта</w:t>
      </w:r>
      <w:r w:rsidR="00FE44B9">
        <w:t xml:space="preserve"> </w:t>
      </w:r>
      <w:r w:rsidR="008A60C4">
        <w:t>и в съответствие с</w:t>
      </w:r>
      <w:r w:rsidRPr="00E13676">
        <w:t xml:space="preserve"> ПМС 114/08.06.2022 г. </w:t>
      </w:r>
    </w:p>
    <w:p w:rsidR="003C00D5" w:rsidRPr="00E13676" w:rsidRDefault="003C00D5" w:rsidP="007C388C">
      <w:pPr>
        <w:spacing w:before="120" w:after="120" w:line="360" w:lineRule="auto"/>
        <w:jc w:val="both"/>
      </w:pPr>
      <w:r w:rsidRPr="00E13676">
        <w:t>Предложението за инвестиция от крайния получател се оценява в съответствие с критериите, посочени в Условия</w:t>
      </w:r>
      <w:r w:rsidR="00BF100B">
        <w:t>та</w:t>
      </w:r>
      <w:r w:rsidRPr="00E13676">
        <w:t xml:space="preserve"> за кандидатстване. Оценката се извършва чрез Информационната система на Националния план за възстановяване и устойчивост (ИСМ) и се документира чрез попълване на таблици.</w:t>
      </w:r>
    </w:p>
    <w:p w:rsidR="003C00D5" w:rsidRPr="00E13676" w:rsidRDefault="003C00D5" w:rsidP="007C388C">
      <w:pPr>
        <w:spacing w:before="120" w:after="120" w:line="360" w:lineRule="auto"/>
        <w:jc w:val="both"/>
      </w:pPr>
      <w:r w:rsidRPr="00E13676">
        <w:t xml:space="preserve">Заинтересованите лица могат да искат разяснения по Условията за кандидатстване до </w:t>
      </w:r>
      <w:r w:rsidR="00FE44B9">
        <w:t>21</w:t>
      </w:r>
      <w:r w:rsidRPr="00E13676">
        <w:t xml:space="preserve"> дни преди изтичането на срока за кандидатстване. Въпросите се задават в писмена форма чрез електронната система ИСМ, секция </w:t>
      </w:r>
      <w:r w:rsidR="00D93643">
        <w:t>„</w:t>
      </w:r>
      <w:r w:rsidRPr="00E13676">
        <w:t>Разяснения по процедурата</w:t>
      </w:r>
      <w:r w:rsidR="00D93643">
        <w:t>“</w:t>
      </w:r>
      <w:r w:rsidRPr="00E13676">
        <w:t xml:space="preserve">. Разясненията се утвърждават от ръководителя на СНД. Разясненията се дават по отношение на условията за кандидатстване, не съдържат становище относно качеството на предложението и са задължителни за всички кандидати. Разясненията се публикуват на интернет страницата на СНД и в ИСМ в 10-дневен срок от получаването на искането, но не по-късно от 14 дни преди изтичането на срока за кандидатстване. В разясненията не се посочва лицето, направило запитването. Няма да бъдат предоставяни отговори на въпроси, зададени по </w:t>
      </w:r>
      <w:r w:rsidRPr="00E13676">
        <w:lastRenderedPageBreak/>
        <w:t>телефона. Няма да бъдат изпращани индивидуални отговори на зададени от кандидатите по процедурата въпроси.</w:t>
      </w:r>
    </w:p>
    <w:p w:rsidR="003C00D5" w:rsidRPr="00E13676" w:rsidRDefault="003C00D5" w:rsidP="007C388C">
      <w:pPr>
        <w:spacing w:before="120" w:after="120" w:line="360" w:lineRule="auto"/>
        <w:jc w:val="both"/>
      </w:pPr>
      <w:r w:rsidRPr="00E13676">
        <w:t xml:space="preserve">Съгласно чл. 5, ал. 6 на ПМС 114 /2022 г. след откриване на конкурентната тръжна процедура чрез подбор за изпълнение на инвестиции от крайни получатели, утвърдените Условия за кандидатстване може да се изменят само: 1) при промени в правото на Европейския съюз и/или българското законодателство или в политиката на европейско и/или национално ниво, които налагат привеждане на документите в съответствие с тях; 2) за увеличаване на общия финансов ресурс по инвестицията; 3) за удължаване на срока за подаване на предложения за изпълнение на инвестицията; 4) при изменение на Плана за възстановяване и устойчивост, доколкото това не води до нарушение на </w:t>
      </w:r>
      <w:r w:rsidR="00297387" w:rsidRPr="00E13676">
        <w:t>ВРКП</w:t>
      </w:r>
      <w:r w:rsidRPr="00E13676">
        <w:t>.</w:t>
      </w:r>
    </w:p>
    <w:p w:rsidR="003C00D5" w:rsidRPr="00E13676" w:rsidRDefault="003C00D5" w:rsidP="007C388C">
      <w:pPr>
        <w:spacing w:before="120" w:after="120" w:line="360" w:lineRule="auto"/>
        <w:jc w:val="both"/>
      </w:pPr>
      <w:r w:rsidRPr="00E13676">
        <w:t>След изтичането на крайния срок за подаване на предложения ръководителят на СНД назначава със заповед комисия, която да извърши оценяване и класиране на предложенията по процедурата (оценителна комисия). Комисията се назначава в 7-дневен срок от изтичането на крайния срок за подаване на предложения. Оценяването и класирането на предложенията се извършва до три месеца от назначаването на Комисията, освен ако по изключение в заповедта за назначаването ѝ не е посочен по-дълъг срок, който не може да бъде по-дълъг от 4 месеца.</w:t>
      </w:r>
    </w:p>
    <w:p w:rsidR="003C00D5" w:rsidRPr="00E13676" w:rsidRDefault="003C00D5" w:rsidP="007C388C">
      <w:pPr>
        <w:spacing w:before="120" w:after="120" w:line="360" w:lineRule="auto"/>
        <w:jc w:val="both"/>
      </w:pPr>
      <w:r w:rsidRPr="00E13676">
        <w:t>Оценката на постъпилите предложения за изпълнение на инвестиция се извършват на основание чл. 17 от ПМС № 114/2022 г. на един етап по Критерии за административна допустимост и оценка на качеството.</w:t>
      </w:r>
    </w:p>
    <w:p w:rsidR="003C00D5" w:rsidRPr="00E13676" w:rsidRDefault="003C00D5" w:rsidP="007C388C">
      <w:pPr>
        <w:pStyle w:val="ListParagraph"/>
        <w:numPr>
          <w:ilvl w:val="0"/>
          <w:numId w:val="11"/>
        </w:numPr>
        <w:spacing w:line="360" w:lineRule="auto"/>
        <w:rPr>
          <w:rFonts w:ascii="Times New Roman" w:hAnsi="Times New Roman"/>
          <w:b/>
          <w:bCs/>
          <w:sz w:val="24"/>
          <w:szCs w:val="24"/>
        </w:rPr>
      </w:pPr>
      <w:r w:rsidRPr="00E13676">
        <w:rPr>
          <w:rFonts w:ascii="Times New Roman" w:hAnsi="Times New Roman"/>
          <w:b/>
          <w:bCs/>
          <w:sz w:val="24"/>
          <w:szCs w:val="24"/>
        </w:rPr>
        <w:t>Оценка на административното съответствие и допустимостта</w:t>
      </w:r>
    </w:p>
    <w:p w:rsidR="003C00D5" w:rsidRPr="00E13676" w:rsidRDefault="003C00D5" w:rsidP="007C388C">
      <w:pPr>
        <w:spacing w:before="120" w:after="120" w:line="360" w:lineRule="auto"/>
        <w:jc w:val="both"/>
      </w:pPr>
      <w:r w:rsidRPr="00E13676">
        <w:t xml:space="preserve">Всички предложения за изпълнение на инвестиция, подадени в срок, се оценяват в съответствие с критериите за допустимост на предложенията за изпълнение на инвестиция по процедурата, посочени в </w:t>
      </w:r>
      <w:bookmarkStart w:id="58" w:name="_Hlk169708265"/>
      <w:r w:rsidR="00297387" w:rsidRPr="00E13676">
        <w:t>Критерии и методология за оценка на предложенията за осъществяване на инвестиции</w:t>
      </w:r>
      <w:bookmarkEnd w:id="58"/>
      <w:r w:rsidR="00297387" w:rsidRPr="00E13676">
        <w:t xml:space="preserve"> - </w:t>
      </w:r>
      <w:r w:rsidRPr="00E13676">
        <w:t xml:space="preserve">Приложение </w:t>
      </w:r>
      <w:r w:rsidR="00297387" w:rsidRPr="00E13676">
        <w:t>9</w:t>
      </w:r>
      <w:r w:rsidRPr="00E13676">
        <w:t xml:space="preserve"> към Условията за кандидатстване. </w:t>
      </w:r>
    </w:p>
    <w:p w:rsidR="003C00D5" w:rsidRPr="00E13676" w:rsidRDefault="003C00D5" w:rsidP="007C388C">
      <w:pPr>
        <w:spacing w:before="120" w:after="120" w:line="360" w:lineRule="auto"/>
        <w:jc w:val="both"/>
      </w:pPr>
      <w:r w:rsidRPr="00E13676">
        <w:lastRenderedPageBreak/>
        <w:t>В процеса на оценка на предложенията за изпълнение на инвестиция по процедурата, ще бъде проверявано дали предложението за изпълнение на инвестиция отговаря на всички критерии за допустимост и пълнота на приложените документи.</w:t>
      </w:r>
    </w:p>
    <w:p w:rsidR="003C00D5" w:rsidRPr="00E13676" w:rsidRDefault="003C00D5" w:rsidP="007C388C">
      <w:pPr>
        <w:spacing w:before="120" w:after="120" w:line="360" w:lineRule="auto"/>
        <w:jc w:val="both"/>
      </w:pPr>
      <w:r w:rsidRPr="00E13676">
        <w:t>Оценителната комисия може да изисква допълнителна пояснителна информация от кандидатите, като определи разумен за предоставянето ѝ срок. Тази възможност не може да води до подобряване на качеството на предложението и до нарушаване на принципите на свободна конкуренция, равно третиране, публичност и прозрачност и недопускане на дискриминация.</w:t>
      </w:r>
    </w:p>
    <w:p w:rsidR="003C00D5" w:rsidRPr="00E13676" w:rsidRDefault="003C00D5" w:rsidP="007C388C">
      <w:pPr>
        <w:spacing w:before="120" w:after="120" w:line="360" w:lineRule="auto"/>
        <w:jc w:val="both"/>
      </w:pPr>
      <w:r w:rsidRPr="00E13676">
        <w:t xml:space="preserve">Оценителната комисия извършва проверка за съответствие с правилата за държавните помощи в съответствие с </w:t>
      </w:r>
      <w:r w:rsidR="00DF1EB5" w:rsidRPr="00E13676">
        <w:t>ВРКП</w:t>
      </w:r>
      <w:r w:rsidRPr="00E13676">
        <w:t>.</w:t>
      </w:r>
    </w:p>
    <w:p w:rsidR="003C00D5" w:rsidRPr="00E13676" w:rsidRDefault="003C00D5" w:rsidP="007C388C">
      <w:pPr>
        <w:spacing w:before="120" w:after="120" w:line="360" w:lineRule="auto"/>
        <w:jc w:val="both"/>
      </w:pPr>
      <w:r w:rsidRPr="00E13676">
        <w:t xml:space="preserve">В случай че при оценката на конкретно предложение се установи, че със средствата, за които се кандидатства, ще бъде надхвърлен прагът на допустимите </w:t>
      </w:r>
      <w:r w:rsidR="003F77CB">
        <w:t>помощи за широколентови инфраструктури</w:t>
      </w:r>
      <w:r w:rsidR="00797940" w:rsidRPr="00E13676">
        <w:t xml:space="preserve"> (съответно максималния</w:t>
      </w:r>
      <w:r w:rsidR="003F77CB">
        <w:t>т</w:t>
      </w:r>
      <w:r w:rsidR="00797940" w:rsidRPr="00E13676">
        <w:t xml:space="preserve"> размер на безвъзмездно финансиране по </w:t>
      </w:r>
      <w:r w:rsidR="0098350E" w:rsidRPr="00E13676">
        <w:t xml:space="preserve">т. </w:t>
      </w:r>
      <w:r w:rsidR="00797940" w:rsidRPr="00E13676">
        <w:t>9</w:t>
      </w:r>
      <w:r w:rsidR="00162E86" w:rsidRPr="00E13676">
        <w:t xml:space="preserve"> по-горе </w:t>
      </w:r>
      <w:r w:rsidR="005374C3">
        <w:t xml:space="preserve">за един район или </w:t>
      </w:r>
      <w:r w:rsidR="00162E86" w:rsidRPr="00E13676">
        <w:t>за едно предприятие за един или няколко проекта</w:t>
      </w:r>
      <w:r w:rsidR="00797940" w:rsidRPr="00E13676">
        <w:t>)</w:t>
      </w:r>
      <w:r w:rsidRPr="00E13676">
        <w:t>, оценителната комисия намалява служебно размера на безвъзмездното финансиране до максимално допустимия размер. Тази корекция не може да води до промяна на качеството на предложението и до нарушаване на принципите на свободна конкуренция, равно третиране, публичност и прозрачност и недопускане на дискриминация.</w:t>
      </w:r>
    </w:p>
    <w:p w:rsidR="003C00D5" w:rsidRPr="00E13676" w:rsidRDefault="003C00D5" w:rsidP="007C388C">
      <w:pPr>
        <w:spacing w:before="120" w:after="120" w:line="360" w:lineRule="auto"/>
        <w:jc w:val="both"/>
      </w:pPr>
      <w:r w:rsidRPr="00E13676">
        <w:t>Оценителната комисия може да извършва корекции в бюджета и/или размера на финансирането на предложение, в случаите и по реда, посочени в чл. 16, ал. 8 – 10 от ПМС № 114/2022 г.</w:t>
      </w:r>
    </w:p>
    <w:p w:rsidR="003C00D5" w:rsidRPr="00E13676" w:rsidRDefault="003C00D5" w:rsidP="007C388C">
      <w:pPr>
        <w:spacing w:before="120" w:after="120" w:line="360" w:lineRule="auto"/>
        <w:jc w:val="both"/>
      </w:pPr>
      <w:r w:rsidRPr="00E13676">
        <w:t xml:space="preserve">Когато при оценката на административното съответствие и допустимостта се установи липса на документи и/или друга нередовност, Оценителната комисия изпраща на кандидата уведомление за установените нередовности и определя срок за тяхното отстраняване, който не може да бъде по-кратък от 7 дни. Уведомлението съдържа и информация, че </w:t>
      </w:r>
      <w:r w:rsidR="008A60C4">
        <w:t>не</w:t>
      </w:r>
      <w:r w:rsidR="00E54E73" w:rsidRPr="00E13676">
        <w:t>отстраняването</w:t>
      </w:r>
      <w:r w:rsidRPr="00E13676">
        <w:t xml:space="preserve"> на нередовностите в срок може да доведе до недопускане на пред</w:t>
      </w:r>
      <w:r w:rsidRPr="00E13676">
        <w:lastRenderedPageBreak/>
        <w:t xml:space="preserve">ложението до техническа и финансова оценка и прекратяване на производството по отношение на кандидата. Отстраняването на нередовностите не може да води до промени по същество. Въз основа на извършената оценка на административното съответствие и допустимостта Оценителната комисията изготвя списък на предложенията, които не се допускат до етап класиране на предложенията. В списъка се посочват и основанията за недопускане. Списъкът се публикува на интернет страницата на СНД и в информационната система за ИСМ, а за недопускането се съобщава на всеки от кандидатите, включени в списъка, по реда на чл. 61 от Административнопроцесуалния кодекс. Кандидат, чието предложение е включено в списъка, може писмено да възрази пред ръководителя на СНД в едноседмичен срок от съобщаването. С подаване на възражението не могат да се представят нови документи, които не са били част от първоначално представеното предложение и/или не са допълнени по горепосочения ред. Ръководителят на СНД определя със заповед лица, които да извършват проверка за основателността на получените възражения, като им се осигурява достъп до цялата документация във връзка с възраженията. Срокът за извършване на проверка и изготвянето на становище по проверката е 7-дневен от изтичането на срока за подаване на възражения. Ръководителят на СНД се произнася по основателността на възражението в 3-дневен срок от получаването на становището, като: 1) връща предложението за класиране; или 2) прекратява производството по отношение на кандидата, чието предложение не е допуснато до техническа и финансова оценка. Ръководителят на СНД прекратява производството по отношение на кандидат, чието предложение е включено в списъка на предложенията, които не се допускат до техническа и финансова оценка, </w:t>
      </w:r>
      <w:r w:rsidR="00D804E5">
        <w:t>и</w:t>
      </w:r>
      <w:r w:rsidR="00D804E5" w:rsidRPr="00E13676">
        <w:t xml:space="preserve"> </w:t>
      </w:r>
      <w:r w:rsidRPr="00E13676">
        <w:t xml:space="preserve">не е подал възражение в предвидения срок и по </w:t>
      </w:r>
      <w:r w:rsidR="00D804E5">
        <w:t xml:space="preserve">съответния </w:t>
      </w:r>
      <w:r w:rsidRPr="00E13676">
        <w:t>ред. Актът за прекратяване на производството се издава в едноседмичен срок от изтичането на срока за подаване на възражение.</w:t>
      </w:r>
    </w:p>
    <w:p w:rsidR="003C00D5" w:rsidRPr="00E13676" w:rsidRDefault="003C00D5" w:rsidP="007C388C">
      <w:pPr>
        <w:spacing w:before="120" w:after="120" w:line="360" w:lineRule="auto"/>
        <w:jc w:val="both"/>
        <w:rPr>
          <w:b/>
          <w:bCs/>
        </w:rPr>
      </w:pPr>
      <w:r w:rsidRPr="00E13676">
        <w:rPr>
          <w:b/>
          <w:bCs/>
        </w:rPr>
        <w:t>2)</w:t>
      </w:r>
      <w:r w:rsidRPr="00E13676">
        <w:rPr>
          <w:b/>
          <w:bCs/>
        </w:rPr>
        <w:tab/>
        <w:t>Класиране на предложенията</w:t>
      </w:r>
    </w:p>
    <w:p w:rsidR="003C00D5" w:rsidRPr="00E13676" w:rsidRDefault="003C00D5" w:rsidP="007C388C">
      <w:pPr>
        <w:spacing w:before="120" w:after="120" w:line="360" w:lineRule="auto"/>
        <w:jc w:val="both"/>
      </w:pPr>
      <w:r w:rsidRPr="00E13676">
        <w:t xml:space="preserve">Класирането на предложенията, които са преминали успешно през оценка на административното съответствие и допустимостта ще се извършва въз основа на </w:t>
      </w:r>
      <w:r w:rsidR="00C071FA">
        <w:t xml:space="preserve">методиката за </w:t>
      </w:r>
      <w:r w:rsidR="00C071FA">
        <w:lastRenderedPageBreak/>
        <w:t>оценка на проектните предложения</w:t>
      </w:r>
      <w:r w:rsidR="004D13C6">
        <w:t xml:space="preserve"> съгласно Приложение 9</w:t>
      </w:r>
      <w:r w:rsidRPr="00E13676">
        <w:t xml:space="preserve">, като </w:t>
      </w:r>
      <w:r w:rsidR="00C071FA">
        <w:t>те</w:t>
      </w:r>
      <w:r w:rsidRPr="00E13676">
        <w:t xml:space="preserve"> се класират по възходящ ред на </w:t>
      </w:r>
      <w:r w:rsidR="00C071FA">
        <w:t>база получената оценка</w:t>
      </w:r>
      <w:r w:rsidRPr="00E13676">
        <w:t xml:space="preserve">. </w:t>
      </w:r>
    </w:p>
    <w:p w:rsidR="003C00D5" w:rsidRPr="00E13676" w:rsidRDefault="003C00D5" w:rsidP="007C388C">
      <w:pPr>
        <w:spacing w:before="120" w:after="120" w:line="360" w:lineRule="auto"/>
        <w:jc w:val="both"/>
      </w:pPr>
      <w:r w:rsidRPr="00E13676">
        <w:t xml:space="preserve">В случай че на този етап от оценката има няколко кандидата с еднаква </w:t>
      </w:r>
      <w:r w:rsidR="00C071FA">
        <w:t>оценка за даден район</w:t>
      </w:r>
      <w:r w:rsidRPr="00E13676">
        <w:t>, СНД ще класира тези кандидати въз основа на следните критерии при равенство:</w:t>
      </w:r>
    </w:p>
    <w:p w:rsidR="003C00D5" w:rsidRPr="00E13676" w:rsidRDefault="00E6418B" w:rsidP="007C388C">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Проект</w:t>
      </w:r>
      <w:r w:rsidR="003C00D5" w:rsidRPr="00E13676">
        <w:rPr>
          <w:rFonts w:ascii="Times New Roman" w:hAnsi="Times New Roman"/>
          <w:sz w:val="24"/>
          <w:szCs w:val="24"/>
        </w:rPr>
        <w:t xml:space="preserve">, който подава оферта </w:t>
      </w:r>
      <w:r w:rsidR="00C071FA">
        <w:rPr>
          <w:rFonts w:ascii="Times New Roman" w:hAnsi="Times New Roman"/>
          <w:sz w:val="24"/>
          <w:szCs w:val="24"/>
        </w:rPr>
        <w:t xml:space="preserve">за по-голямо покритие на населението </w:t>
      </w:r>
      <w:r w:rsidR="0097791B">
        <w:rPr>
          <w:rFonts w:ascii="Times New Roman" w:hAnsi="Times New Roman"/>
          <w:sz w:val="24"/>
          <w:szCs w:val="24"/>
        </w:rPr>
        <w:t xml:space="preserve">(като абсолютен брой жители) </w:t>
      </w:r>
      <w:r w:rsidR="00C071FA">
        <w:rPr>
          <w:rFonts w:ascii="Times New Roman" w:hAnsi="Times New Roman"/>
          <w:sz w:val="24"/>
          <w:szCs w:val="24"/>
        </w:rPr>
        <w:t xml:space="preserve">от изискуемото, </w:t>
      </w:r>
      <w:r w:rsidR="00C071FA" w:rsidRPr="00E13676">
        <w:rPr>
          <w:rFonts w:ascii="Times New Roman" w:hAnsi="Times New Roman"/>
          <w:sz w:val="24"/>
          <w:szCs w:val="24"/>
        </w:rPr>
        <w:t xml:space="preserve">ще бъде класиран </w:t>
      </w:r>
      <w:r>
        <w:rPr>
          <w:rFonts w:ascii="Times New Roman" w:hAnsi="Times New Roman"/>
          <w:sz w:val="24"/>
          <w:szCs w:val="24"/>
        </w:rPr>
        <w:t>на по-предна позиция</w:t>
      </w:r>
      <w:r w:rsidR="003C00D5" w:rsidRPr="00E13676">
        <w:rPr>
          <w:rFonts w:ascii="Times New Roman" w:hAnsi="Times New Roman"/>
          <w:sz w:val="24"/>
          <w:szCs w:val="24"/>
        </w:rPr>
        <w:t xml:space="preserve">. </w:t>
      </w:r>
    </w:p>
    <w:p w:rsidR="003C00D5" w:rsidRPr="00E13676" w:rsidRDefault="003C00D5" w:rsidP="007C388C">
      <w:pPr>
        <w:pStyle w:val="ListParagraph"/>
        <w:numPr>
          <w:ilvl w:val="0"/>
          <w:numId w:val="12"/>
        </w:numPr>
        <w:spacing w:line="360" w:lineRule="auto"/>
        <w:rPr>
          <w:rFonts w:ascii="Times New Roman" w:hAnsi="Times New Roman"/>
          <w:sz w:val="24"/>
          <w:szCs w:val="24"/>
        </w:rPr>
      </w:pPr>
      <w:r w:rsidRPr="00E13676">
        <w:rPr>
          <w:rFonts w:ascii="Times New Roman" w:hAnsi="Times New Roman"/>
          <w:sz w:val="24"/>
          <w:szCs w:val="24"/>
        </w:rPr>
        <w:t>Ако все още има равен брой точки, всяко предложение, подадено на по-ранна дата и час съгласно ИСМ-ИСУН 2020, ще бъде класирано преди предложението с по-късна дата и час.</w:t>
      </w:r>
    </w:p>
    <w:p w:rsidR="003C00D5" w:rsidRPr="003E1374" w:rsidRDefault="003C00D5" w:rsidP="007C388C">
      <w:pPr>
        <w:spacing w:before="120" w:after="120" w:line="360" w:lineRule="auto"/>
        <w:jc w:val="both"/>
      </w:pPr>
      <w:r w:rsidRPr="00E13676">
        <w:t>Въз основа на резултатите от оценката Оценителната комисия изготвя оценителен доклад до Рък</w:t>
      </w:r>
      <w:r w:rsidR="003E1374">
        <w:t xml:space="preserve">оводителя на СНД, който включва </w:t>
      </w:r>
      <w:r w:rsidRPr="003E1374">
        <w:t xml:space="preserve">списък на предложените за финансиране </w:t>
      </w:r>
      <w:r w:rsidR="003E1374" w:rsidRPr="003E1374">
        <w:t xml:space="preserve">проектни </w:t>
      </w:r>
      <w:r w:rsidRPr="003E1374">
        <w:t xml:space="preserve">предложения, </w:t>
      </w:r>
      <w:r w:rsidR="003E1374" w:rsidRPr="003E1374">
        <w:t>класирани на база получена оценка съгласно методиката за оценка</w:t>
      </w:r>
      <w:r w:rsidR="003E1374">
        <w:t>.</w:t>
      </w:r>
    </w:p>
    <w:p w:rsidR="003C00D5" w:rsidRPr="00E13676" w:rsidRDefault="003C00D5" w:rsidP="007C388C">
      <w:pPr>
        <w:spacing w:before="120" w:after="120" w:line="360" w:lineRule="auto"/>
        <w:jc w:val="both"/>
      </w:pPr>
      <w:r w:rsidRPr="00E13676">
        <w:t xml:space="preserve">В съответствие с чл. 19, ал. 1, т. 1 от ПМС № 114/2022 г. ръководителят на СНД одобрява доклада на оценителната комисия, като кандидатите от списъка на предложените за финансиране </w:t>
      </w:r>
      <w:r w:rsidR="0011115D">
        <w:t xml:space="preserve">проектни </w:t>
      </w:r>
      <w:r w:rsidRPr="00E13676">
        <w:t>предложения се поканват да представят в 14-дневен срок доказателства, че отговарят на изискванията за краен получател на средства от МВУ, посочени в настоящите Условия за кандидатстване, ако същите не са приложени към формуляра за кандидатстване. Поканите се изпращат чрез системата ИСМ-ИСУН 2020.</w:t>
      </w:r>
    </w:p>
    <w:p w:rsidR="003C00D5" w:rsidRPr="00E13676" w:rsidRDefault="003C00D5" w:rsidP="007C388C">
      <w:pPr>
        <w:spacing w:before="120" w:after="120" w:line="360" w:lineRule="auto"/>
        <w:jc w:val="both"/>
      </w:pPr>
      <w:r w:rsidRPr="00E13676">
        <w:t xml:space="preserve">При установена обективна необходимост от предоставяне на разяснения и/или допълнителни документи на кандидатите може да се предостави еднократно допълнителен срок, но не по-дълъг от 14 дни. </w:t>
      </w:r>
    </w:p>
    <w:p w:rsidR="003C00D5" w:rsidRPr="00E13676" w:rsidRDefault="003C00D5" w:rsidP="007C388C">
      <w:pPr>
        <w:spacing w:before="120" w:after="120" w:line="360" w:lineRule="auto"/>
        <w:jc w:val="both"/>
      </w:pPr>
      <w:r w:rsidRPr="00E13676">
        <w:t>В 7-дневен срок от одобряването на оценителния доклад, съответно от представянето на доказателствата, че отговарят на изискванията за краен получател на средства от МВУ, посочени в настоящите Условия за кандидатстване, ръководителят на СНД издава решение за предоставяне на средства от Механизма по всяко предложение, включено в списъка на предложените за финансиране предложения.</w:t>
      </w:r>
    </w:p>
    <w:p w:rsidR="000C1B2C" w:rsidRPr="00E13676" w:rsidRDefault="000C1B2C" w:rsidP="007C388C">
      <w:pPr>
        <w:spacing w:before="120" w:after="120" w:line="360" w:lineRule="auto"/>
        <w:jc w:val="both"/>
      </w:pPr>
      <w:r w:rsidRPr="00E13676">
        <w:lastRenderedPageBreak/>
        <w:t>Съгласно Договора за финансиране, крайните получатели са длъжни да предоставят доказателства за изпълнението на междинните етапи (вкл. за получаването на разрешенията за строеж</w:t>
      </w:r>
      <w:r w:rsidR="00F657A0">
        <w:t xml:space="preserve">, за подписване на неотменимо право на ползване </w:t>
      </w:r>
      <w:r w:rsidR="00F657A0">
        <w:rPr>
          <w:lang w:val="en-US"/>
        </w:rPr>
        <w:t>(IRU)</w:t>
      </w:r>
      <w:r w:rsidR="00F657A0">
        <w:t xml:space="preserve">, </w:t>
      </w:r>
      <w:r w:rsidR="00DC6826">
        <w:t>дейности по чл. 51 от ЗЕСМФИ</w:t>
      </w:r>
      <w:r w:rsidRPr="00E13676">
        <w:t xml:space="preserve"> и</w:t>
      </w:r>
      <w:r w:rsidR="00577603">
        <w:t xml:space="preserve"> </w:t>
      </w:r>
      <w:r w:rsidR="00DC6826">
        <w:t>др.</w:t>
      </w:r>
      <w:r w:rsidRPr="00E13676">
        <w:t>). При неизпълнение, СНД уведомява КП и предоставя допълнителен срок (</w:t>
      </w:r>
      <w:r w:rsidR="00641C99" w:rsidRPr="00E13676">
        <w:t>15</w:t>
      </w:r>
      <w:r w:rsidRPr="00E13676">
        <w:t xml:space="preserve"> дни) за изпълнение, след изтичането на който СНД има право да прекрати договора. </w:t>
      </w:r>
    </w:p>
    <w:p w:rsidR="003C00D5" w:rsidRPr="00E13676" w:rsidRDefault="003C00D5" w:rsidP="007C388C">
      <w:pPr>
        <w:spacing w:before="120" w:after="120" w:line="360" w:lineRule="auto"/>
        <w:jc w:val="both"/>
        <w:rPr>
          <w:b/>
          <w:bCs/>
        </w:rPr>
      </w:pPr>
      <w:r w:rsidRPr="00E13676">
        <w:rPr>
          <w:b/>
          <w:bCs/>
        </w:rPr>
        <w:t>Договор за финансиране с крайния получател</w:t>
      </w:r>
    </w:p>
    <w:p w:rsidR="00F831F6" w:rsidRPr="00E13676" w:rsidRDefault="003C00D5" w:rsidP="007C388C">
      <w:pPr>
        <w:spacing w:before="120" w:after="120" w:line="360" w:lineRule="auto"/>
        <w:jc w:val="both"/>
      </w:pPr>
      <w:r w:rsidRPr="00E13676">
        <w:t xml:space="preserve">В срок до 15 работни дни от влизането в сила на решението за предоставяне на средства от НПВУ ръководителят на СНД сключва договор за финансиране с крайния получател. </w:t>
      </w:r>
    </w:p>
    <w:p w:rsidR="003C00D5" w:rsidRPr="00E13676" w:rsidRDefault="003C00D5" w:rsidP="007C388C">
      <w:pPr>
        <w:spacing w:before="120" w:after="120" w:line="360" w:lineRule="auto"/>
        <w:jc w:val="both"/>
      </w:pPr>
      <w:r w:rsidRPr="00E13676">
        <w:t>Договорът задължително включва:</w:t>
      </w:r>
    </w:p>
    <w:p w:rsidR="00B8375F" w:rsidRDefault="00B8375F" w:rsidP="00B8375F">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наименование и седалище на адресата - краен получател на средствата;</w:t>
      </w:r>
    </w:p>
    <w:p w:rsidR="00B8375F" w:rsidRDefault="00B8375F" w:rsidP="00B8375F">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наименование, стойност, основни дейности, индикатори, период и срокове за изпълнение на инвестицията, за която се предоставят средствата;</w:t>
      </w:r>
    </w:p>
    <w:p w:rsidR="00B8375F" w:rsidRDefault="00B8375F" w:rsidP="00B8375F">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максимален размер на средствата по инвестицията, по която те се предоставят;</w:t>
      </w:r>
    </w:p>
    <w:p w:rsidR="00B8375F" w:rsidRDefault="00B8375F" w:rsidP="00B8375F">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конкретизация на условията за изпълнение на инвестицията;</w:t>
      </w:r>
    </w:p>
    <w:p w:rsidR="00B8375F" w:rsidRDefault="00B8375F" w:rsidP="00B8375F">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етапи и цели;</w:t>
      </w:r>
    </w:p>
    <w:p w:rsidR="00B8375F" w:rsidRDefault="00B8375F" w:rsidP="00B8375F">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 xml:space="preserve">информация, че средствата имат характер на помощ за широколентова инфраструктура в съответствие с </w:t>
      </w:r>
      <w:r w:rsidRPr="00521595">
        <w:rPr>
          <w:rFonts w:ascii="Times New Roman" w:hAnsi="Times New Roman"/>
          <w:sz w:val="24"/>
          <w:szCs w:val="24"/>
        </w:rPr>
        <w:t>Регламент на Комисията (ЕС) № 651/2014</w:t>
      </w:r>
      <w:r>
        <w:rPr>
          <w:rFonts w:ascii="Times New Roman" w:hAnsi="Times New Roman"/>
          <w:sz w:val="24"/>
          <w:szCs w:val="24"/>
        </w:rPr>
        <w:t>;</w:t>
      </w:r>
    </w:p>
    <w:p w:rsidR="008A60C4" w:rsidRPr="007C5F0B" w:rsidRDefault="00B8375F" w:rsidP="007C5F0B">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процедура за проверка на резултатите по проекта за периода на устойчивост на инвестицията.</w:t>
      </w:r>
    </w:p>
    <w:p w:rsidR="003C00D5" w:rsidRPr="008A60C4" w:rsidRDefault="003C00D5" w:rsidP="007C388C">
      <w:pPr>
        <w:spacing w:before="120" w:after="120" w:line="360" w:lineRule="auto"/>
        <w:jc w:val="both"/>
      </w:pPr>
      <w:r w:rsidRPr="00E13676">
        <w:t>Одобреното предложение за изпълнение на инвестиция и настоящите Условията за кандидатстване  в частта, определяща условията за изпълнение, са неразделна част от договора.</w:t>
      </w:r>
    </w:p>
    <w:p w:rsidR="003C00D5" w:rsidRPr="00E13676" w:rsidRDefault="003C00D5" w:rsidP="007C388C">
      <w:pPr>
        <w:spacing w:before="120" w:after="120" w:line="360" w:lineRule="auto"/>
        <w:jc w:val="both"/>
      </w:pPr>
      <w:r w:rsidRPr="00E13676">
        <w:t>Сключеният договор за финансиране, съответно заповедта, включително одобрената инвестиция, може да бъде изменян и/или допълван в случаите и по реда, посочени в чл. 28 от ПМС № 114/08.06.2022 г.</w:t>
      </w:r>
    </w:p>
    <w:p w:rsidR="003C00D5" w:rsidRPr="00E13676" w:rsidRDefault="003C00D5" w:rsidP="007C388C">
      <w:pPr>
        <w:spacing w:before="120" w:after="120" w:line="360" w:lineRule="auto"/>
        <w:jc w:val="both"/>
      </w:pPr>
    </w:p>
    <w:p w:rsidR="003C00D5" w:rsidRPr="00E13676" w:rsidRDefault="003C00D5" w:rsidP="007C388C">
      <w:pPr>
        <w:pBdr>
          <w:top w:val="double" w:sz="4" w:space="1" w:color="538135"/>
          <w:left w:val="double" w:sz="4" w:space="4" w:color="538135"/>
          <w:bottom w:val="double" w:sz="4" w:space="1" w:color="538135"/>
          <w:right w:val="double" w:sz="4" w:space="4" w:color="538135"/>
        </w:pBdr>
        <w:spacing w:before="120" w:after="120" w:line="360" w:lineRule="auto"/>
        <w:jc w:val="both"/>
      </w:pPr>
      <w:r w:rsidRPr="00E13676">
        <w:rPr>
          <w:b/>
        </w:rPr>
        <w:lastRenderedPageBreak/>
        <w:t xml:space="preserve">ВАЖНО: </w:t>
      </w:r>
      <w:r w:rsidRPr="00E13676">
        <w:t>СНД няма да разглежда предложения, които са изпратени след посочения в т. 21 краен срок за подаване на предложения за изпълнение на инвестиция.</w:t>
      </w:r>
    </w:p>
    <w:p w:rsidR="003C00D5" w:rsidRPr="00E13676" w:rsidRDefault="003C00D5" w:rsidP="007C388C">
      <w:pPr>
        <w:pBdr>
          <w:top w:val="double" w:sz="4" w:space="1" w:color="538135"/>
          <w:left w:val="double" w:sz="4" w:space="4" w:color="538135"/>
          <w:bottom w:val="double" w:sz="4" w:space="1" w:color="538135"/>
          <w:right w:val="double" w:sz="4" w:space="4" w:color="538135"/>
        </w:pBdr>
        <w:spacing w:before="120" w:after="120" w:line="360" w:lineRule="auto"/>
        <w:jc w:val="both"/>
      </w:pPr>
      <w:r w:rsidRPr="00E13676">
        <w:rPr>
          <w:b/>
        </w:rPr>
        <w:t xml:space="preserve">ВАЖНО: </w:t>
      </w:r>
      <w:r w:rsidRPr="00E13676">
        <w:t>Уведомленията за установени нередовности се изпращат чрез ИСМ-ИСУН 2020. Кандидатът следва да има ангажимент да проверява профила си в ИСМ-ИСУН 2020 ежедневно. В тази връзка, е необходимо кандидатите да разполагат винаги с достъп до електронния адрес, към който е асоцииран профила в ИСМ-ИСУН 2020. За дата на получаване на искането за документи/информация се счита датата на изпращането му чрез ИСМ-ИСУН 2020, независимо дали е получено уведомление на електронния адрес, асоцииран към профила на кандидата. Подавайки електронно предложение за изпълнение на инвестиция, кандидатът се съгласява комуникацията по време на оценката и договарянето да става единствено посредством ИСМ-ИСУН 2020, в профила, от който е подадено предложението. Съобщенията, получени на електронната поща, посочена от кандидата, не са част от кореспонденцията по повод на и във връзка с процеса по оценка. Отговорност на кандидата е да проверява регулярно по своя инициатива профила си в ИСМ-ИСУН 2020 за наличието на съобщения, отправени към него по повод и във връзка с производството по предоставяне на безвъзмездно финансиране. Кандидатът представя допълнителните разяснения и/или документи по електронен път чрез ИСМ-ИСУН 2020.</w:t>
      </w:r>
    </w:p>
    <w:p w:rsidR="003C00D5" w:rsidRPr="00E13676" w:rsidRDefault="003C00D5" w:rsidP="007C388C">
      <w:pPr>
        <w:pBdr>
          <w:top w:val="double" w:sz="4" w:space="1" w:color="538135"/>
          <w:left w:val="double" w:sz="4" w:space="4" w:color="538135"/>
          <w:bottom w:val="double" w:sz="4" w:space="1" w:color="538135"/>
          <w:right w:val="double" w:sz="4" w:space="4" w:color="538135"/>
        </w:pBdr>
        <w:spacing w:before="120" w:after="120" w:line="360" w:lineRule="auto"/>
        <w:jc w:val="both"/>
        <w:rPr>
          <w:rFonts w:eastAsia="MS Mincho"/>
          <w:lang w:eastAsia="en-US"/>
        </w:rPr>
      </w:pPr>
      <w:r w:rsidRPr="00E13676">
        <w:rPr>
          <w:rFonts w:eastAsia="MS Mincho"/>
          <w:lang w:eastAsia="en-US"/>
        </w:rPr>
        <w:t xml:space="preserve">Техническият процес, свързан с представянето на допълнителна информация/документи, е описан в Ръководството за потребителя за модул </w:t>
      </w:r>
      <w:r w:rsidR="00D356D4">
        <w:rPr>
          <w:rFonts w:eastAsia="MS Mincho"/>
          <w:lang w:eastAsia="en-US"/>
        </w:rPr>
        <w:t>„</w:t>
      </w:r>
      <w:r w:rsidRPr="00E13676">
        <w:rPr>
          <w:rFonts w:eastAsia="MS Mincho"/>
          <w:lang w:eastAsia="en-US"/>
        </w:rPr>
        <w:t>Е-кандидатстване</w:t>
      </w:r>
      <w:r w:rsidR="00D356D4">
        <w:rPr>
          <w:rFonts w:eastAsia="MS Mincho"/>
          <w:lang w:eastAsia="en-US"/>
        </w:rPr>
        <w:t>“</w:t>
      </w:r>
      <w:r w:rsidRPr="00E13676">
        <w:rPr>
          <w:rFonts w:eastAsia="MS Mincho"/>
          <w:lang w:eastAsia="en-US"/>
        </w:rPr>
        <w:t xml:space="preserve"> в ИСМ-ИСУН 2020.</w:t>
      </w:r>
    </w:p>
    <w:p w:rsidR="003C00D5" w:rsidRPr="00E13676" w:rsidRDefault="003C00D5" w:rsidP="007C388C">
      <w:pPr>
        <w:suppressAutoHyphens/>
        <w:spacing w:before="120" w:after="120" w:line="360" w:lineRule="auto"/>
        <w:jc w:val="both"/>
        <w:rPr>
          <w:rFonts w:eastAsia="MS Mincho"/>
          <w:lang w:eastAsia="en-US"/>
        </w:rPr>
      </w:pPr>
    </w:p>
    <w:p w:rsidR="003F1496" w:rsidRPr="00E13676" w:rsidRDefault="009E1720" w:rsidP="007C388C">
      <w:pPr>
        <w:pStyle w:val="Heading2"/>
        <w:suppressAutoHyphens/>
        <w:spacing w:after="120" w:line="360" w:lineRule="auto"/>
        <w:rPr>
          <w:rFonts w:ascii="Times New Roman" w:hAnsi="Times New Roman"/>
          <w:sz w:val="24"/>
          <w:szCs w:val="24"/>
        </w:rPr>
      </w:pPr>
      <w:bookmarkStart w:id="59" w:name="_Toc106285948"/>
      <w:bookmarkStart w:id="60" w:name="_Toc183440909"/>
      <w:r w:rsidRPr="00E13676">
        <w:rPr>
          <w:rFonts w:ascii="Times New Roman" w:hAnsi="Times New Roman"/>
          <w:sz w:val="24"/>
          <w:szCs w:val="24"/>
        </w:rPr>
        <w:t>19</w:t>
      </w:r>
      <w:r w:rsidR="003F1496" w:rsidRPr="00E13676">
        <w:rPr>
          <w:rFonts w:ascii="Times New Roman" w:hAnsi="Times New Roman"/>
          <w:sz w:val="24"/>
          <w:szCs w:val="24"/>
        </w:rPr>
        <w:t>. Начин на подаване на предложенията за изпълнение на инвестиция:</w:t>
      </w:r>
      <w:bookmarkEnd w:id="59"/>
      <w:bookmarkEnd w:id="60"/>
    </w:p>
    <w:p w:rsidR="008D17C2" w:rsidRPr="00E13676" w:rsidRDefault="008D17C2" w:rsidP="007C388C">
      <w:pPr>
        <w:spacing w:before="120" w:after="120" w:line="360" w:lineRule="auto"/>
        <w:jc w:val="both"/>
      </w:pPr>
      <w:r w:rsidRPr="00E13676">
        <w:t xml:space="preserve">Подаването на предложението за изпълнение на инвестиция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 </w:t>
      </w:r>
      <w:r w:rsidRPr="00E13676">
        <w:rPr>
          <w:b/>
        </w:rPr>
        <w:t>ИСМ-ИСУН 2020, раздел НПВУ</w:t>
      </w:r>
      <w:r w:rsidRPr="00E13676">
        <w:t xml:space="preserve"> </w:t>
      </w:r>
      <w:r w:rsidRPr="00E13676">
        <w:rPr>
          <w:bCs/>
        </w:rPr>
        <w:t xml:space="preserve">единствено с използването на валиден Квалифициран електронен </w:t>
      </w:r>
      <w:r w:rsidRPr="00E13676">
        <w:rPr>
          <w:bCs/>
        </w:rPr>
        <w:lastRenderedPageBreak/>
        <w:t xml:space="preserve">подпис (КЕП), издаден от доставчик на квалифицирани електронни удостоверителни услуги по смисъла на чл. 3, параграф 20) от Регламент (ЕС) № 910/2014, чрез модула </w:t>
      </w:r>
      <w:r w:rsidR="00D356D4">
        <w:rPr>
          <w:bCs/>
        </w:rPr>
        <w:t>„</w:t>
      </w:r>
      <w:r w:rsidRPr="00E13676">
        <w:rPr>
          <w:bCs/>
        </w:rPr>
        <w:t>Е-кандидатстване</w:t>
      </w:r>
      <w:r w:rsidR="00D356D4">
        <w:rPr>
          <w:bCs/>
        </w:rPr>
        <w:t>“</w:t>
      </w:r>
      <w:r w:rsidRPr="00E13676">
        <w:rPr>
          <w:bCs/>
        </w:rPr>
        <w:t xml:space="preserve"> на </w:t>
      </w:r>
      <w:r w:rsidRPr="00E13676">
        <w:rPr>
          <w:b/>
          <w:bCs/>
        </w:rPr>
        <w:t>следния интернет адрес</w:t>
      </w:r>
      <w:r w:rsidRPr="00E13676">
        <w:rPr>
          <w:bCs/>
        </w:rPr>
        <w:t>:</w:t>
      </w:r>
      <w:r w:rsidRPr="00E13676">
        <w:t xml:space="preserve"> </w:t>
      </w:r>
      <w:hyperlink r:id="rId11" w:history="1">
        <w:r w:rsidRPr="00E13676">
          <w:rPr>
            <w:rStyle w:val="Hyperlink"/>
            <w:color w:val="auto"/>
          </w:rPr>
          <w:t>https://eumis2020.government.bg/bg/s/800c457d-e8be-4421-8ed9-9e78d0a75c39/Procedure/Active</w:t>
        </w:r>
      </w:hyperlink>
      <w:r w:rsidR="00596700">
        <w:rPr>
          <w:rStyle w:val="Hyperlink"/>
          <w:color w:val="auto"/>
          <w:lang w:val="en-US"/>
        </w:rPr>
        <w:t xml:space="preserve"> </w:t>
      </w:r>
      <w:r w:rsidR="009E66E3">
        <w:rPr>
          <w:rStyle w:val="Hyperlink"/>
          <w:color w:val="auto"/>
        </w:rPr>
        <w:t xml:space="preserve"> </w:t>
      </w:r>
      <w:r w:rsidRPr="00E13676">
        <w:t xml:space="preserve"> </w:t>
      </w:r>
    </w:p>
    <w:p w:rsidR="008D17C2" w:rsidRPr="00E13676" w:rsidRDefault="008D17C2" w:rsidP="007C388C">
      <w:pPr>
        <w:spacing w:before="120" w:after="120" w:line="360" w:lineRule="auto"/>
        <w:jc w:val="both"/>
      </w:pPr>
      <w:r w:rsidRPr="00E13676">
        <w:t xml:space="preserve">Подготовката и подаването на предложението за изпълнение на инвестиция в ИСМ-ИСУН 2020, раздел НПВУ се извършва по следния начин: кандидатът влиза в ИСМ-ИСУН 2020, раздел НПВУ, след регистрация чрез имейл и парола, избира настоящата процедура за кандидатстване от </w:t>
      </w:r>
      <w:r w:rsidR="00D356D4">
        <w:t>„</w:t>
      </w:r>
      <w:r w:rsidRPr="00E13676">
        <w:t>Отворени процедури</w:t>
      </w:r>
      <w:r w:rsidR="00D356D4">
        <w:t>“</w:t>
      </w:r>
      <w:r w:rsidRPr="00E13676">
        <w:t xml:space="preserve"> и създава ново предложение за изпълнение на инвестиция.</w:t>
      </w:r>
    </w:p>
    <w:p w:rsidR="008D17C2" w:rsidRPr="00E13676" w:rsidRDefault="008D17C2" w:rsidP="007C388C">
      <w:pPr>
        <w:spacing w:before="120" w:after="120" w:line="360" w:lineRule="auto"/>
        <w:jc w:val="both"/>
      </w:pPr>
      <w:r w:rsidRPr="00E13676">
        <w:t>Всички документи по настоящата процедура, включително и изискващите се съгласно т. 20 от Условията за кандидатстване</w:t>
      </w:r>
      <w:r w:rsidRPr="00E13676" w:rsidDel="001610D6">
        <w:t xml:space="preserve"> </w:t>
      </w:r>
      <w:r w:rsidRPr="00E13676">
        <w:t xml:space="preserve">придружителни документи към Формуляра за кандидатстване се подават изцяло електронно. Посочените документи се прикачват в т. 10 </w:t>
      </w:r>
      <w:r w:rsidR="00D356D4">
        <w:t>„</w:t>
      </w:r>
      <w:r w:rsidRPr="00E13676">
        <w:t>Прикачени електронно подписани документи</w:t>
      </w:r>
      <w:r w:rsidR="00D356D4">
        <w:t>“</w:t>
      </w:r>
      <w:r w:rsidRPr="00E13676">
        <w:t xml:space="preserve"> от Формуляра преди подаването му. Всички документи се представят на български език без корекции. Документ, чийто оригинал е на чужд език, се представя и в превод на български език.</w:t>
      </w:r>
      <w:r w:rsidR="00932BFD" w:rsidRPr="00E13676">
        <w:t xml:space="preserve"> Кандидатите носят отговорност за верността на предоставения превод като версията</w:t>
      </w:r>
      <w:r w:rsidR="00596700">
        <w:rPr>
          <w:lang w:val="en-US"/>
        </w:rPr>
        <w:t xml:space="preserve"> </w:t>
      </w:r>
      <w:r w:rsidR="00932BFD" w:rsidRPr="00E13676">
        <w:t>на български език ще се счита за водеща при оценяването.</w:t>
      </w:r>
    </w:p>
    <w:p w:rsidR="008D17C2" w:rsidRPr="00E13676" w:rsidRDefault="008D17C2" w:rsidP="007C388C">
      <w:pPr>
        <w:pBdr>
          <w:top w:val="double" w:sz="4" w:space="1" w:color="538135"/>
          <w:left w:val="double" w:sz="4" w:space="4" w:color="538135"/>
          <w:bottom w:val="double" w:sz="4" w:space="1" w:color="538135"/>
          <w:right w:val="double" w:sz="4" w:space="4" w:color="538135"/>
        </w:pBdr>
        <w:spacing w:before="120" w:after="120" w:line="360" w:lineRule="auto"/>
        <w:jc w:val="both"/>
      </w:pPr>
      <w:r w:rsidRPr="00E13676">
        <w:rPr>
          <w:b/>
          <w:bCs/>
        </w:rPr>
        <w:t>ВАЖНО:</w:t>
      </w:r>
      <w:r w:rsidRPr="00E13676">
        <w:rPr>
          <w:bCs/>
        </w:rPr>
        <w:t xml:space="preserve"> Предложението за изпълнение на инвестиция се п</w:t>
      </w:r>
      <w:r w:rsidRPr="00E13676">
        <w:t>одава електронно чрез ИСМ-ИСУН 2020, раздел НПВУ, като се подписва с валиден КЕП към датата на кандидатстване от лице, което е официален представляващ на кандидата и е вписан като такъв в ТР и Регистъра на ЮЛНЦ</w:t>
      </w:r>
      <w:r w:rsidRPr="00E13676">
        <w:rPr>
          <w:rStyle w:val="FootnoteReference"/>
        </w:rPr>
        <w:footnoteReference w:id="7"/>
      </w:r>
      <w:r w:rsidRPr="00E13676" w:rsidDel="00274915">
        <w:t xml:space="preserve"> </w:t>
      </w:r>
      <w:r w:rsidRPr="00E13676">
        <w:t xml:space="preserve"> или упълномощено от него лице. В случаите, когато кандидатът се представлява </w:t>
      </w:r>
      <w:r w:rsidRPr="00E13676">
        <w:rPr>
          <w:u w:val="single"/>
        </w:rPr>
        <w:t>само заедно</w:t>
      </w:r>
      <w:r w:rsidRPr="00E13676">
        <w:t xml:space="preserve"> от няколко физически лица, предложението за изпълнение на инвестиция се подписва от всяко от тях при подаването.</w:t>
      </w:r>
    </w:p>
    <w:p w:rsidR="008D17C2" w:rsidRPr="00E13676" w:rsidRDefault="008D17C2" w:rsidP="007C388C">
      <w:pPr>
        <w:spacing w:before="120" w:after="120" w:line="360" w:lineRule="auto"/>
        <w:jc w:val="both"/>
      </w:pPr>
    </w:p>
    <w:p w:rsidR="008D17C2" w:rsidRPr="00E13676" w:rsidRDefault="008D17C2" w:rsidP="007C388C">
      <w:pPr>
        <w:spacing w:before="120" w:after="120" w:line="360" w:lineRule="auto"/>
        <w:jc w:val="both"/>
      </w:pPr>
      <w:r w:rsidRPr="00E13676">
        <w:t xml:space="preserve">При упълномощаване следва да </w:t>
      </w:r>
      <w:r w:rsidRPr="00806E95">
        <w:t>се прикачи в ИСМ-ИСУН 2020, раздел НПВУ изрично пълномощно – попълнено по образец (Приложение 1), което</w:t>
      </w:r>
      <w:r w:rsidRPr="00E13676">
        <w:t xml:space="preserve"> се подписва с валиден КЕП от лице, което е официален представляващ на кандидата и е вписан като такъв в ТР и регистър на ЮЛНЦ, и се прикачва в ИСМ-ИСУН 2020, раздел НПВУ. В случаите, когато кандидатът се представлява САМО ЗАЕДНО от няколко физически лица, се попълват данните и пълномощното се подписва с валиден КЕП от всяко от тях. В случай че е възприет подход на подписване с валиден КЕП, препоръчително е изричното пълномощно да бъде подписано с електронния подпис на локалния компютър чрез attached signature – файл и подпис в един документ (подписът да се съдържа в документа).</w:t>
      </w:r>
    </w:p>
    <w:p w:rsidR="008D17C2" w:rsidRPr="00E13676" w:rsidRDefault="008D17C2" w:rsidP="007C388C">
      <w:pPr>
        <w:spacing w:before="120" w:after="120" w:line="360" w:lineRule="auto"/>
        <w:jc w:val="both"/>
      </w:pPr>
      <w:r w:rsidRPr="00E13676">
        <w:t>В случай на подаване на предложението за изпълнение на инвестиция от пълномощник КЕП-ът, с който се подписва предложението за изпълнение на инвестиция, следва да бъде с титуляр и автор упълномощеното физическо лице, а в случай на упълномощаване на юридическо лице – КЕП-ът следва да бъде с титуляр упълномощеното юридическо  лице и автор – официалният представляващ на упълномощеното юридическо лице.</w:t>
      </w:r>
    </w:p>
    <w:p w:rsidR="008D17C2" w:rsidRPr="00E13676" w:rsidRDefault="008D17C2" w:rsidP="007C388C">
      <w:pPr>
        <w:spacing w:before="120" w:after="120" w:line="360" w:lineRule="auto"/>
        <w:jc w:val="both"/>
      </w:pPr>
      <w:r w:rsidRPr="00E13676">
        <w:t xml:space="preserve">Моля, обърнете внимание, че предложението за изпълнение на инвестиция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със СНД и за отстраняване на нередовности във връзка с подаденото предложение за изпълнение на инвестиция по време на оценката на предложенията за изпълнение на инвестиция. По време на етап </w:t>
      </w:r>
      <w:r w:rsidR="005276D7">
        <w:t>„</w:t>
      </w:r>
      <w:r w:rsidRPr="00E13676">
        <w:t>Оценка на предложение за изпълнение на инвестиция</w:t>
      </w:r>
      <w:r w:rsidR="005276D7">
        <w:t>“</w:t>
      </w:r>
      <w:r w:rsidRPr="00E13676">
        <w:t xml:space="preserve"> комуникацията с кандидата и отстраняването на нередовности по подаденото предложение за изпълнение на инвестиция ще се извършват електронно чрез профила на кандидата в ИСМ-ИСУН 2020, раздел НПВУ, от който е подадено съответното предложение за изпълнение на инвестиция като промени на посочения профил (вкл. промяна на имейл адреса, асоцииран към съответния профил) </w:t>
      </w:r>
      <w:r w:rsidRPr="00E13676">
        <w:rPr>
          <w:b/>
        </w:rPr>
        <w:t>са недопустими</w:t>
      </w:r>
      <w:r w:rsidRPr="00E13676">
        <w:t>.</w:t>
      </w:r>
    </w:p>
    <w:p w:rsidR="008D17C2" w:rsidRPr="00E13676" w:rsidRDefault="008D17C2" w:rsidP="007C388C">
      <w:pPr>
        <w:spacing w:before="120" w:after="120" w:line="360" w:lineRule="auto"/>
        <w:jc w:val="both"/>
      </w:pPr>
      <w:r w:rsidRPr="00E13676">
        <w:lastRenderedPageBreak/>
        <w:t>До приключването на работата на Оценителната комисия кандидатът има възможност да оттегли своето предложение за изпълнение на инвестиция като подаде писмено искане пред СНД.</w:t>
      </w:r>
      <w:r w:rsidR="0088029A" w:rsidRPr="00E13676">
        <w:t xml:space="preserve"> Гаранцията за участие се възстановява само, ако кандидатът оттегли своето предложение </w:t>
      </w:r>
      <w:r w:rsidR="003D2419" w:rsidRPr="00E13676">
        <w:t xml:space="preserve">за изпълнение на инвестиция </w:t>
      </w:r>
      <w:r w:rsidR="0088029A" w:rsidRPr="00E13676">
        <w:t xml:space="preserve">до изтичане на крайния срок за подаване на предложения по </w:t>
      </w:r>
      <w:r w:rsidR="0098350E" w:rsidRPr="00E13676">
        <w:t xml:space="preserve">т. </w:t>
      </w:r>
      <w:r w:rsidR="0088029A" w:rsidRPr="00E13676">
        <w:t xml:space="preserve">21 по-долу. </w:t>
      </w:r>
    </w:p>
    <w:p w:rsidR="008D17C2" w:rsidRPr="00E13676" w:rsidRDefault="008D17C2" w:rsidP="007C388C">
      <w:pPr>
        <w:spacing w:before="120" w:after="120" w:line="360" w:lineRule="auto"/>
        <w:jc w:val="both"/>
      </w:pPr>
      <w:r w:rsidRPr="00E13676">
        <w:t>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w:t>
      </w:r>
    </w:p>
    <w:p w:rsidR="008D17C2" w:rsidRPr="00E13676" w:rsidRDefault="008D17C2" w:rsidP="007C388C">
      <w:pPr>
        <w:spacing w:before="120" w:after="120" w:line="360" w:lineRule="auto"/>
        <w:jc w:val="both"/>
      </w:pPr>
      <w:r w:rsidRPr="00E13676">
        <w:t>Кандидатът носи цялата отговорност за верността на цялата информация, представена в предложението за изпълнение на инвестиция.</w:t>
      </w:r>
    </w:p>
    <w:p w:rsidR="003F1496" w:rsidRPr="00E13676" w:rsidRDefault="003F1496" w:rsidP="007C388C">
      <w:pPr>
        <w:suppressAutoHyphens/>
        <w:spacing w:before="120" w:after="120" w:line="360" w:lineRule="auto"/>
        <w:jc w:val="both"/>
      </w:pPr>
    </w:p>
    <w:p w:rsidR="003F1496" w:rsidRPr="00E13676" w:rsidRDefault="009E1720" w:rsidP="007C388C">
      <w:pPr>
        <w:pStyle w:val="Heading2"/>
        <w:suppressAutoHyphens/>
        <w:spacing w:after="120" w:line="360" w:lineRule="auto"/>
        <w:rPr>
          <w:rFonts w:ascii="Times New Roman" w:hAnsi="Times New Roman"/>
          <w:sz w:val="24"/>
          <w:szCs w:val="24"/>
        </w:rPr>
      </w:pPr>
      <w:bookmarkStart w:id="61" w:name="_Toc106285949"/>
      <w:bookmarkStart w:id="62" w:name="_Toc183440910"/>
      <w:r w:rsidRPr="00E13676">
        <w:rPr>
          <w:rFonts w:ascii="Times New Roman" w:hAnsi="Times New Roman"/>
          <w:sz w:val="24"/>
          <w:szCs w:val="24"/>
        </w:rPr>
        <w:t>20</w:t>
      </w:r>
      <w:r w:rsidR="003F1496" w:rsidRPr="00E13676">
        <w:rPr>
          <w:rFonts w:ascii="Times New Roman" w:hAnsi="Times New Roman"/>
          <w:sz w:val="24"/>
          <w:szCs w:val="24"/>
        </w:rPr>
        <w:t>. Списък на документите, които се подават на етап кандидатстване:</w:t>
      </w:r>
      <w:bookmarkEnd w:id="61"/>
      <w:bookmarkEnd w:id="62"/>
    </w:p>
    <w:p w:rsidR="008D17C2" w:rsidRPr="00E13676" w:rsidRDefault="008D17C2" w:rsidP="007C388C">
      <w:pPr>
        <w:spacing w:before="120" w:after="120" w:line="360" w:lineRule="auto"/>
        <w:jc w:val="both"/>
        <w:rPr>
          <w:color w:val="000000" w:themeColor="text1"/>
        </w:rPr>
      </w:pPr>
      <w:r w:rsidRPr="00E13676">
        <w:rPr>
          <w:color w:val="000000" w:themeColor="text1"/>
        </w:rPr>
        <w:t>Кандидатите по процедурата за безвъзмездно финансиране следва да представят към Формуляра за кандидатстване по изцяло електронен път чрез ИСМ-ИСУН 2020, раздел НПВУ, следните документи:</w:t>
      </w:r>
    </w:p>
    <w:p w:rsidR="008D17C2" w:rsidRPr="00E13676" w:rsidRDefault="008D17C2" w:rsidP="007C388C">
      <w:pPr>
        <w:spacing w:before="120" w:after="120" w:line="360" w:lineRule="auto"/>
        <w:jc w:val="both"/>
        <w:rPr>
          <w:color w:val="000000" w:themeColor="text1"/>
        </w:rPr>
      </w:pPr>
      <w:r w:rsidRPr="00E13676">
        <w:rPr>
          <w:b/>
          <w:bCs/>
          <w:color w:val="000000" w:themeColor="text1"/>
        </w:rPr>
        <w:t>1)</w:t>
      </w:r>
      <w:r w:rsidRPr="00E13676">
        <w:rPr>
          <w:color w:val="000000" w:themeColor="text1"/>
        </w:rPr>
        <w:t xml:space="preserve"> Изрично пълномощно за подаване на предложението за изпълнение на инвестиция – попълнено по образец (Приложение 1), с което се упълномощава титуляр</w:t>
      </w:r>
      <w:r w:rsidR="009E66E3">
        <w:rPr>
          <w:color w:val="000000" w:themeColor="text1"/>
        </w:rPr>
        <w:t>ът</w:t>
      </w:r>
      <w:r w:rsidRPr="00E13676">
        <w:rPr>
          <w:color w:val="000000" w:themeColor="text1"/>
        </w:rPr>
        <w:t xml:space="preserve"> на валиден КЕП</w:t>
      </w:r>
      <w:r w:rsidRPr="00E13676">
        <w:rPr>
          <w:rStyle w:val="FootnoteReference"/>
          <w:b/>
          <w:color w:val="000000" w:themeColor="text1"/>
        </w:rPr>
        <w:footnoteReference w:id="8"/>
      </w:r>
      <w:r w:rsidRPr="00E13676">
        <w:rPr>
          <w:color w:val="000000" w:themeColor="text1"/>
        </w:rPr>
        <w:t>, с който ще се подаде предложението.</w:t>
      </w:r>
    </w:p>
    <w:p w:rsidR="008D17C2" w:rsidRPr="00E13676" w:rsidRDefault="008D17C2" w:rsidP="007C388C">
      <w:pPr>
        <w:spacing w:before="120" w:after="120" w:line="360" w:lineRule="auto"/>
        <w:jc w:val="both"/>
        <w:rPr>
          <w:color w:val="000000" w:themeColor="text1"/>
        </w:rPr>
      </w:pPr>
      <w:r w:rsidRPr="00E13676">
        <w:rPr>
          <w:color w:val="000000" w:themeColor="text1"/>
        </w:rPr>
        <w:t>Документът не е задължителен за всички кандидати, а се изисква в случай че кандидатите желаят да упълномощят лице, което не е официален представител на предприятието, да подаде предложението за изпълнение на инвестиция с валиден КЕП.</w:t>
      </w:r>
    </w:p>
    <w:p w:rsidR="008D17C2" w:rsidRPr="00E13676" w:rsidRDefault="008D17C2" w:rsidP="007C388C">
      <w:pPr>
        <w:spacing w:before="120" w:after="120" w:line="360" w:lineRule="auto"/>
        <w:jc w:val="both"/>
        <w:rPr>
          <w:color w:val="000000" w:themeColor="text1"/>
        </w:rPr>
      </w:pPr>
      <w:r w:rsidRPr="00E13676">
        <w:rPr>
          <w:color w:val="000000" w:themeColor="text1"/>
        </w:rPr>
        <w:lastRenderedPageBreak/>
        <w:t>Изричното пълномощно се попълва по образец (Приложение 1) и се подписва с валиден КЕП от лице, което е официален представляващ на кандидата и е вписан като такъв в ТР и регистър на ЮЛНЦ, и се прикачва в ИСМ-ИСУН 2020, раздел НПВУ. В случаите, когато кандидатът се представлява САМО ЗАЕДНО от няколко физически лица, се попълват данните и пълномощното се подписва с валиден КЕП от всяко от тях. В случай че е възприет подход на подписване с валиден КЕП, препоръчително е изричното пълномощно да бъде подписано с електронния подпис на локалния компютър чрез attached signature – файл и подпис в един документ (подписът да се съдържа в документа).</w:t>
      </w:r>
    </w:p>
    <w:p w:rsidR="008D17C2" w:rsidRPr="00E13676" w:rsidRDefault="008D17C2" w:rsidP="007C388C">
      <w:pPr>
        <w:spacing w:before="120" w:after="120" w:line="360" w:lineRule="auto"/>
        <w:jc w:val="both"/>
        <w:rPr>
          <w:color w:val="000000" w:themeColor="text1"/>
        </w:rPr>
      </w:pPr>
    </w:p>
    <w:p w:rsidR="008D17C2" w:rsidRPr="00E13676" w:rsidRDefault="008D17C2" w:rsidP="007C388C">
      <w:pPr>
        <w:spacing w:before="120" w:after="120" w:line="360" w:lineRule="auto"/>
        <w:jc w:val="both"/>
        <w:rPr>
          <w:color w:val="000000" w:themeColor="text1"/>
        </w:rPr>
      </w:pPr>
      <w:bookmarkStart w:id="63" w:name="_Hlk147264398"/>
      <w:r w:rsidRPr="00E13676">
        <w:rPr>
          <w:b/>
          <w:bCs/>
          <w:color w:val="000000" w:themeColor="text1"/>
        </w:rPr>
        <w:t>2)</w:t>
      </w:r>
      <w:r w:rsidRPr="00E13676">
        <w:rPr>
          <w:color w:val="000000" w:themeColor="text1"/>
        </w:rPr>
        <w:t xml:space="preserve"> Декларация при кандидатстване </w:t>
      </w:r>
      <w:r w:rsidR="00146572" w:rsidRPr="00E13676">
        <w:rPr>
          <w:color w:val="000000" w:themeColor="text1"/>
        </w:rPr>
        <w:t xml:space="preserve">и за приемане на условията на процедурата </w:t>
      </w:r>
      <w:r w:rsidRPr="00E13676">
        <w:rPr>
          <w:color w:val="000000" w:themeColor="text1"/>
        </w:rPr>
        <w:t xml:space="preserve">– попълнена по образец (Приложение </w:t>
      </w:r>
      <w:r w:rsidR="00146572" w:rsidRPr="00E13676">
        <w:rPr>
          <w:color w:val="000000" w:themeColor="text1"/>
        </w:rPr>
        <w:t>5</w:t>
      </w:r>
      <w:r w:rsidRPr="00E13676">
        <w:rPr>
          <w:color w:val="000000" w:themeColor="text1"/>
        </w:rPr>
        <w:t>)</w:t>
      </w:r>
      <w:bookmarkEnd w:id="63"/>
      <w:r w:rsidRPr="00E13676">
        <w:rPr>
          <w:color w:val="000000" w:themeColor="text1"/>
        </w:rPr>
        <w:t>.</w:t>
      </w:r>
    </w:p>
    <w:p w:rsidR="008D17C2" w:rsidRPr="00E13676" w:rsidRDefault="008D17C2" w:rsidP="007C388C">
      <w:pPr>
        <w:pBdr>
          <w:top w:val="double" w:sz="4" w:space="1" w:color="538135"/>
          <w:left w:val="double" w:sz="4" w:space="4" w:color="538135"/>
          <w:bottom w:val="double" w:sz="4" w:space="1" w:color="538135"/>
          <w:right w:val="double" w:sz="4" w:space="4" w:color="538135"/>
        </w:pBdr>
        <w:spacing w:before="120" w:after="120" w:line="360" w:lineRule="auto"/>
        <w:jc w:val="both"/>
        <w:rPr>
          <w:color w:val="000000" w:themeColor="text1"/>
        </w:rPr>
      </w:pPr>
      <w:r w:rsidRPr="00E13676">
        <w:rPr>
          <w:b/>
          <w:bCs/>
          <w:color w:val="000000" w:themeColor="text1"/>
        </w:rPr>
        <w:t xml:space="preserve">ВАЖНО: </w:t>
      </w:r>
      <w:r w:rsidRPr="00E13676">
        <w:rPr>
          <w:color w:val="000000" w:themeColor="text1"/>
        </w:rPr>
        <w:t>Допустими са следните два варианта на подписване на Декларацията по т. 2):</w:t>
      </w:r>
    </w:p>
    <w:p w:rsidR="008D17C2" w:rsidRPr="00E13676" w:rsidRDefault="008D17C2" w:rsidP="007C388C">
      <w:pPr>
        <w:pBdr>
          <w:top w:val="double" w:sz="4" w:space="1" w:color="538135"/>
          <w:left w:val="double" w:sz="4" w:space="4" w:color="538135"/>
          <w:bottom w:val="double" w:sz="4" w:space="1" w:color="538135"/>
          <w:right w:val="double" w:sz="4" w:space="4" w:color="538135"/>
        </w:pBdr>
        <w:spacing w:before="120" w:after="120" w:line="360" w:lineRule="auto"/>
        <w:jc w:val="both"/>
        <w:rPr>
          <w:color w:val="000000" w:themeColor="text1"/>
        </w:rPr>
      </w:pPr>
      <w:r w:rsidRPr="00E13676">
        <w:rPr>
          <w:color w:val="000000" w:themeColor="text1"/>
        </w:rPr>
        <w:t>Вариант 1: Декларацията се датира и подписва на хартиен носител от всички лица представляващи кандидата и вписани в ТР и регистър на ЮЛНЦ (вкл. прокурист/и, ако е приложимо). След попълването, подписването и поставянето на дата на хартиения носител, декларацията следва да се сканира и да се прикачи към Формуляра за кандидатстване в ИСМ-ИСУН 2020, раздел НПВУ.</w:t>
      </w:r>
    </w:p>
    <w:p w:rsidR="008D17C2" w:rsidRPr="00E13676" w:rsidRDefault="008D17C2" w:rsidP="007C388C">
      <w:pPr>
        <w:pBdr>
          <w:top w:val="double" w:sz="4" w:space="1" w:color="538135"/>
          <w:left w:val="double" w:sz="4" w:space="4" w:color="538135"/>
          <w:bottom w:val="double" w:sz="4" w:space="1" w:color="538135"/>
          <w:right w:val="double" w:sz="4" w:space="4" w:color="538135"/>
        </w:pBdr>
        <w:spacing w:before="120" w:after="120" w:line="360" w:lineRule="auto"/>
        <w:jc w:val="both"/>
        <w:rPr>
          <w:color w:val="000000" w:themeColor="text1"/>
        </w:rPr>
      </w:pPr>
      <w:r w:rsidRPr="00E13676">
        <w:rPr>
          <w:color w:val="000000" w:themeColor="text1"/>
        </w:rPr>
        <w:t xml:space="preserve">Вариант 2: Декларацията може да бъде подписана с валиден КЕП от всички лица представляващи кандидата (вкл. прокурист/и, ако е приложимо), вписани в ТР и регистър на ЮЛНЦ (не е допустимо подписване от упълномощени лица), и прикачена към Формуляра за кандидатстване в ИСМ-ИСУН 2020, раздел НПВУ. </w:t>
      </w:r>
    </w:p>
    <w:p w:rsidR="008D17C2" w:rsidRPr="00E13676" w:rsidRDefault="008D17C2" w:rsidP="007C388C">
      <w:pPr>
        <w:pBdr>
          <w:top w:val="double" w:sz="4" w:space="1" w:color="538135"/>
          <w:left w:val="double" w:sz="4" w:space="4" w:color="538135"/>
          <w:bottom w:val="double" w:sz="4" w:space="1" w:color="538135"/>
          <w:right w:val="double" w:sz="4" w:space="4" w:color="538135"/>
        </w:pBdr>
        <w:spacing w:before="120" w:after="120" w:line="360" w:lineRule="auto"/>
        <w:jc w:val="both"/>
        <w:rPr>
          <w:color w:val="000000" w:themeColor="text1"/>
        </w:rPr>
      </w:pPr>
      <w:bookmarkStart w:id="64" w:name="_Hlk147256901"/>
      <w:r w:rsidRPr="00E13676">
        <w:rPr>
          <w:color w:val="000000" w:themeColor="text1"/>
        </w:rPr>
        <w:t>Официалният/те представител/и на кандидата няма/т право да упълномощава/т други лица да подписват декларацията по т. 2) тъй като с тях се декларират данни, които деклараторът/ите декларира/т в лично качество или съответно данни за представляваното от него/тях юридическо лице, като за верността им се носи наказателна отговорност, която също е лична.</w:t>
      </w:r>
      <w:bookmarkEnd w:id="64"/>
    </w:p>
    <w:p w:rsidR="008D17C2" w:rsidRPr="00E13676" w:rsidRDefault="008D17C2" w:rsidP="007C388C">
      <w:pPr>
        <w:spacing w:before="120" w:after="120" w:line="360" w:lineRule="auto"/>
        <w:jc w:val="both"/>
        <w:rPr>
          <w:color w:val="000000" w:themeColor="text1"/>
        </w:rPr>
      </w:pPr>
    </w:p>
    <w:p w:rsidR="008D17C2" w:rsidRPr="00E13676" w:rsidRDefault="008D17C2" w:rsidP="007C388C">
      <w:pPr>
        <w:spacing w:before="120" w:after="120" w:line="360" w:lineRule="auto"/>
        <w:jc w:val="both"/>
        <w:rPr>
          <w:color w:val="000000" w:themeColor="text1"/>
        </w:rPr>
      </w:pPr>
      <w:r w:rsidRPr="00E13676">
        <w:rPr>
          <w:b/>
          <w:bCs/>
          <w:color w:val="000000" w:themeColor="text1"/>
        </w:rPr>
        <w:t>3)</w:t>
      </w:r>
      <w:r w:rsidRPr="00E13676">
        <w:rPr>
          <w:color w:val="000000" w:themeColor="text1"/>
        </w:rPr>
        <w:t xml:space="preserve"> </w:t>
      </w:r>
      <w:bookmarkStart w:id="65" w:name="_Hlk169707931"/>
      <w:bookmarkStart w:id="66" w:name="_Hlk147264408"/>
      <w:r w:rsidRPr="00E13676">
        <w:rPr>
          <w:color w:val="000000" w:themeColor="text1"/>
        </w:rPr>
        <w:t xml:space="preserve">Декларация за държавни/минимални помощи </w:t>
      </w:r>
      <w:bookmarkEnd w:id="65"/>
      <w:r w:rsidRPr="00E13676">
        <w:rPr>
          <w:color w:val="000000" w:themeColor="text1"/>
        </w:rPr>
        <w:t>– попълнена по образец (Приложение 2).</w:t>
      </w:r>
      <w:bookmarkEnd w:id="66"/>
    </w:p>
    <w:p w:rsidR="008D17C2" w:rsidRPr="00E13676" w:rsidRDefault="008D17C2" w:rsidP="007C388C">
      <w:pPr>
        <w:pBdr>
          <w:top w:val="double" w:sz="4" w:space="1" w:color="538135"/>
          <w:left w:val="double" w:sz="4" w:space="4" w:color="538135"/>
          <w:bottom w:val="double" w:sz="4" w:space="1" w:color="538135"/>
          <w:right w:val="double" w:sz="4" w:space="4" w:color="538135"/>
        </w:pBdr>
        <w:spacing w:before="120" w:after="120" w:line="360" w:lineRule="auto"/>
        <w:jc w:val="both"/>
        <w:rPr>
          <w:bCs/>
          <w:color w:val="000000" w:themeColor="text1"/>
        </w:rPr>
      </w:pPr>
      <w:r w:rsidRPr="00E13676">
        <w:rPr>
          <w:b/>
          <w:bCs/>
          <w:color w:val="000000" w:themeColor="text1"/>
        </w:rPr>
        <w:t xml:space="preserve">ВАЖНО: </w:t>
      </w:r>
      <w:r w:rsidRPr="00E13676">
        <w:rPr>
          <w:bCs/>
          <w:color w:val="000000" w:themeColor="text1"/>
        </w:rPr>
        <w:t xml:space="preserve">В случай че след подаване на предложението за изпълнение на инвестиция настъпи промяна по отношение на получената държавна/минимална помощ, кандидатът следва да уведоми писмено СНД и да изпрати нова Декларация за държавни/минимални помощи (Приложение 2), с попълнени актуални данни в нея, в срок от пет работни дни посредством модул </w:t>
      </w:r>
      <w:r w:rsidR="005276D7">
        <w:rPr>
          <w:bCs/>
          <w:color w:val="000000" w:themeColor="text1"/>
        </w:rPr>
        <w:t>„</w:t>
      </w:r>
      <w:r w:rsidRPr="00E13676">
        <w:rPr>
          <w:bCs/>
          <w:color w:val="000000" w:themeColor="text1"/>
        </w:rPr>
        <w:t>Комуникация с УО</w:t>
      </w:r>
      <w:r w:rsidR="005276D7">
        <w:rPr>
          <w:bCs/>
          <w:color w:val="000000" w:themeColor="text1"/>
        </w:rPr>
        <w:t>“</w:t>
      </w:r>
      <w:r w:rsidRPr="00E13676">
        <w:rPr>
          <w:bCs/>
          <w:color w:val="000000" w:themeColor="text1"/>
        </w:rPr>
        <w:t xml:space="preserve"> в ИСМ-ИСУН 2020, раздел НПВУ. Новата декларация се попълва и подписва с КЕП от официален представляващ на кандидата и вписан като такъв в ТР и регистър на ЮЛНЦ. В случаите, когато кандидатът се представлява САМО ЗАЕДНО от няколко физически лица, се попълват данните и декларацията се подписва с КЕП от всяко от тях. </w:t>
      </w:r>
    </w:p>
    <w:p w:rsidR="008D17C2" w:rsidRPr="00E13676" w:rsidRDefault="008D17C2" w:rsidP="007C388C">
      <w:pPr>
        <w:spacing w:before="120" w:after="120" w:line="360" w:lineRule="auto"/>
        <w:jc w:val="both"/>
        <w:rPr>
          <w:bCs/>
          <w:color w:val="000000" w:themeColor="text1"/>
        </w:rPr>
      </w:pPr>
    </w:p>
    <w:p w:rsidR="008D17C2" w:rsidRPr="00E13676" w:rsidRDefault="002F5DE2" w:rsidP="007C388C">
      <w:pPr>
        <w:spacing w:before="120" w:after="120" w:line="360" w:lineRule="auto"/>
        <w:jc w:val="both"/>
        <w:rPr>
          <w:b/>
          <w:color w:val="000000" w:themeColor="text1"/>
        </w:rPr>
      </w:pPr>
      <w:r w:rsidRPr="00E13676">
        <w:rPr>
          <w:b/>
          <w:color w:val="000000" w:themeColor="text1"/>
        </w:rPr>
        <w:t>4</w:t>
      </w:r>
      <w:r w:rsidR="008D17C2" w:rsidRPr="00E13676">
        <w:rPr>
          <w:b/>
          <w:color w:val="000000" w:themeColor="text1"/>
        </w:rPr>
        <w:t xml:space="preserve">) </w:t>
      </w:r>
      <w:r w:rsidR="008D17C2" w:rsidRPr="00E13676">
        <w:rPr>
          <w:bCs/>
          <w:color w:val="000000" w:themeColor="text1"/>
        </w:rPr>
        <w:t>Проектна готовност за изпълнение на инвестицията</w:t>
      </w:r>
    </w:p>
    <w:p w:rsidR="008D17C2" w:rsidRPr="00E13676" w:rsidRDefault="00E15A61" w:rsidP="007C388C">
      <w:pPr>
        <w:spacing w:line="360" w:lineRule="auto"/>
        <w:jc w:val="both"/>
        <w:rPr>
          <w:color w:val="000000" w:themeColor="text1"/>
        </w:rPr>
      </w:pPr>
      <w:r w:rsidRPr="00E13676">
        <w:rPr>
          <w:color w:val="000000" w:themeColor="text1"/>
        </w:rPr>
        <w:t>К</w:t>
      </w:r>
      <w:r w:rsidR="008D17C2" w:rsidRPr="00E13676">
        <w:rPr>
          <w:color w:val="000000" w:themeColor="text1"/>
        </w:rPr>
        <w:t>андидатът следва да представи минимум следните документи:</w:t>
      </w:r>
    </w:p>
    <w:p w:rsidR="005276D7" w:rsidRDefault="00E15A61" w:rsidP="007C388C">
      <w:pPr>
        <w:pStyle w:val="ListParagraph"/>
        <w:spacing w:line="360" w:lineRule="auto"/>
        <w:ind w:left="0"/>
        <w:contextualSpacing w:val="0"/>
        <w:rPr>
          <w:rFonts w:ascii="Times New Roman" w:hAnsi="Times New Roman"/>
          <w:color w:val="000000" w:themeColor="text1"/>
          <w:sz w:val="24"/>
          <w:szCs w:val="24"/>
        </w:rPr>
      </w:pPr>
      <w:r w:rsidRPr="005276D7">
        <w:rPr>
          <w:rFonts w:ascii="Times New Roman" w:hAnsi="Times New Roman"/>
          <w:color w:val="000000" w:themeColor="text1"/>
          <w:sz w:val="24"/>
          <w:szCs w:val="24"/>
        </w:rPr>
        <w:t>а</w:t>
      </w:r>
      <w:r w:rsidR="008D17C2" w:rsidRPr="005276D7">
        <w:rPr>
          <w:rFonts w:ascii="Times New Roman" w:hAnsi="Times New Roman"/>
          <w:color w:val="000000" w:themeColor="text1"/>
          <w:sz w:val="24"/>
          <w:szCs w:val="24"/>
        </w:rPr>
        <w:t>)</w:t>
      </w:r>
      <w:r w:rsidR="004861F5">
        <w:rPr>
          <w:color w:val="000000" w:themeColor="text1"/>
        </w:rPr>
        <w:t xml:space="preserve"> </w:t>
      </w:r>
      <w:r w:rsidR="005276D7">
        <w:rPr>
          <w:rFonts w:ascii="Times New Roman" w:hAnsi="Times New Roman"/>
          <w:color w:val="000000" w:themeColor="text1"/>
          <w:sz w:val="24"/>
          <w:szCs w:val="24"/>
        </w:rPr>
        <w:t>копие от</w:t>
      </w:r>
      <w:r w:rsidR="005276D7" w:rsidRPr="00BB7E4C">
        <w:rPr>
          <w:rFonts w:ascii="Times New Roman" w:hAnsi="Times New Roman"/>
          <w:color w:val="000000" w:themeColor="text1"/>
          <w:sz w:val="24"/>
          <w:szCs w:val="24"/>
        </w:rPr>
        <w:t xml:space="preserve"> разрешение за използване на спектър в честотни ленти 2,6 GHz, 3,6 GHz, 700 MHz, 800 MHz, 900 MHz, 26 GHz или споразумение с партньор, който има такова разрешение</w:t>
      </w:r>
      <w:r w:rsidR="005276D7">
        <w:rPr>
          <w:rFonts w:ascii="Times New Roman" w:hAnsi="Times New Roman"/>
          <w:color w:val="000000" w:themeColor="text1"/>
          <w:sz w:val="24"/>
          <w:szCs w:val="24"/>
        </w:rPr>
        <w:t>;</w:t>
      </w:r>
    </w:p>
    <w:p w:rsidR="005276D7" w:rsidRDefault="00E15A61" w:rsidP="007C388C">
      <w:pPr>
        <w:spacing w:line="360" w:lineRule="auto"/>
        <w:jc w:val="both"/>
        <w:rPr>
          <w:color w:val="000000" w:themeColor="text1"/>
        </w:rPr>
      </w:pPr>
      <w:r w:rsidRPr="00E13676">
        <w:rPr>
          <w:color w:val="000000" w:themeColor="text1"/>
        </w:rPr>
        <w:t>б</w:t>
      </w:r>
      <w:r w:rsidR="004861F5">
        <w:rPr>
          <w:color w:val="000000" w:themeColor="text1"/>
        </w:rPr>
        <w:t>) информация за проекти и извършени</w:t>
      </w:r>
      <w:r w:rsidR="004861F5" w:rsidRPr="00690625">
        <w:rPr>
          <w:color w:val="000000" w:themeColor="text1"/>
        </w:rPr>
        <w:t xml:space="preserve"> дейности, свързани с поддръжката и/или изграждането на електронна съобщителна инфраструктура с дължина най-малко </w:t>
      </w:r>
      <w:r w:rsidR="00457F55">
        <w:rPr>
          <w:color w:val="000000" w:themeColor="text1"/>
        </w:rPr>
        <w:t>3</w:t>
      </w:r>
      <w:r w:rsidR="00457F55" w:rsidRPr="00690625">
        <w:rPr>
          <w:color w:val="000000" w:themeColor="text1"/>
        </w:rPr>
        <w:t xml:space="preserve">50 </w:t>
      </w:r>
      <w:r w:rsidR="004861F5" w:rsidRPr="00690625">
        <w:rPr>
          <w:color w:val="000000" w:themeColor="text1"/>
        </w:rPr>
        <w:t xml:space="preserve">км и/или предоставянето на </w:t>
      </w:r>
      <w:r w:rsidR="004861F5">
        <w:rPr>
          <w:color w:val="000000" w:themeColor="text1"/>
        </w:rPr>
        <w:t>електронни съобщителни услуги;</w:t>
      </w:r>
    </w:p>
    <w:p w:rsidR="004861F5" w:rsidRDefault="00521595" w:rsidP="007C388C">
      <w:pPr>
        <w:spacing w:line="360" w:lineRule="auto"/>
        <w:jc w:val="both"/>
        <w:rPr>
          <w:color w:val="000000" w:themeColor="text1"/>
          <w:lang w:val="en-US"/>
        </w:rPr>
      </w:pPr>
      <w:r>
        <w:rPr>
          <w:color w:val="000000" w:themeColor="text1"/>
        </w:rPr>
        <w:t xml:space="preserve">в) бизнес </w:t>
      </w:r>
      <w:r w:rsidR="004861F5">
        <w:rPr>
          <w:color w:val="000000" w:themeColor="text1"/>
        </w:rPr>
        <w:t>план, в т.ч. финансов план, анализ на риска и анализ разходи и ползи (</w:t>
      </w:r>
      <w:r w:rsidR="009E66E3">
        <w:rPr>
          <w:color w:val="000000" w:themeColor="text1"/>
          <w:lang w:val="en-US"/>
        </w:rPr>
        <w:t>SWAT);</w:t>
      </w:r>
    </w:p>
    <w:p w:rsidR="008D17C2" w:rsidRPr="00E13676" w:rsidRDefault="008D17C2" w:rsidP="007C388C">
      <w:pPr>
        <w:pBdr>
          <w:top w:val="double" w:sz="4" w:space="1" w:color="538135"/>
          <w:left w:val="double" w:sz="4" w:space="4" w:color="538135"/>
          <w:bottom w:val="double" w:sz="4" w:space="1" w:color="538135"/>
          <w:right w:val="double" w:sz="4" w:space="4" w:color="538135"/>
        </w:pBdr>
        <w:spacing w:before="120" w:after="120" w:line="360" w:lineRule="auto"/>
        <w:jc w:val="both"/>
        <w:rPr>
          <w:b/>
          <w:bCs/>
          <w:color w:val="000000" w:themeColor="text1"/>
        </w:rPr>
      </w:pPr>
      <w:r w:rsidRPr="00E13676">
        <w:rPr>
          <w:b/>
          <w:bCs/>
          <w:color w:val="000000" w:themeColor="text1"/>
        </w:rPr>
        <w:t>ВАЖНО:</w:t>
      </w:r>
      <w:r w:rsidRPr="00E13676">
        <w:rPr>
          <w:color w:val="000000" w:themeColor="text1"/>
        </w:rPr>
        <w:t xml:space="preserve"> Кандидатът носи пълната отговорност за качеството и пълнотата на разработената техническа документация, включително за законосъобразността при изготвянето, съгласуването и одобряването ѝ в качеството му на Възложител по проекта. </w:t>
      </w:r>
    </w:p>
    <w:p w:rsidR="008D17C2" w:rsidRPr="00E13676" w:rsidRDefault="008D17C2" w:rsidP="007C388C">
      <w:pPr>
        <w:pBdr>
          <w:top w:val="double" w:sz="4" w:space="1" w:color="538135"/>
          <w:left w:val="double" w:sz="4" w:space="4" w:color="538135"/>
          <w:bottom w:val="double" w:sz="4" w:space="1" w:color="538135"/>
          <w:right w:val="double" w:sz="4" w:space="4" w:color="538135"/>
        </w:pBdr>
        <w:spacing w:before="120" w:after="120" w:line="360" w:lineRule="auto"/>
        <w:jc w:val="both"/>
        <w:rPr>
          <w:color w:val="000000" w:themeColor="text1"/>
        </w:rPr>
      </w:pPr>
      <w:r w:rsidRPr="00E13676">
        <w:rPr>
          <w:color w:val="000000" w:themeColor="text1"/>
        </w:rPr>
        <w:lastRenderedPageBreak/>
        <w:t>Задължение на крайния получател е да съхранява към проекта оригинал на техническата документация в целия ѝ наличен обем и свързаната с нея налична документация.</w:t>
      </w:r>
    </w:p>
    <w:p w:rsidR="008D17C2" w:rsidRPr="00E13676" w:rsidRDefault="00DC21CD" w:rsidP="007C388C">
      <w:pPr>
        <w:spacing w:before="120" w:after="120" w:line="360" w:lineRule="auto"/>
        <w:jc w:val="both"/>
      </w:pPr>
      <w:r w:rsidRPr="00E13676">
        <w:rPr>
          <w:b/>
          <w:bCs/>
        </w:rPr>
        <w:t>5</w:t>
      </w:r>
      <w:r w:rsidR="008D17C2" w:rsidRPr="00E13676">
        <w:rPr>
          <w:b/>
          <w:bCs/>
        </w:rPr>
        <w:t>)</w:t>
      </w:r>
      <w:r w:rsidR="008D17C2" w:rsidRPr="00E13676">
        <w:t xml:space="preserve"> </w:t>
      </w:r>
      <w:bookmarkStart w:id="67" w:name="_Hlk169707959"/>
      <w:r w:rsidR="008D17C2" w:rsidRPr="00E13676">
        <w:t xml:space="preserve">Банкова гаранция за участие </w:t>
      </w:r>
      <w:bookmarkEnd w:id="67"/>
      <w:r w:rsidR="004861F5">
        <w:t xml:space="preserve">в размер на 3% </w:t>
      </w:r>
      <w:r w:rsidR="001427A0">
        <w:t xml:space="preserve">– оригинал или </w:t>
      </w:r>
      <w:r w:rsidR="008D17C2" w:rsidRPr="00E13676">
        <w:t>заверено ко</w:t>
      </w:r>
      <w:r w:rsidR="001427A0">
        <w:t>пие.</w:t>
      </w:r>
    </w:p>
    <w:p w:rsidR="008D17C2" w:rsidRPr="00E13676" w:rsidRDefault="00DC21CD" w:rsidP="007C388C">
      <w:pPr>
        <w:spacing w:before="120" w:after="120" w:line="360" w:lineRule="auto"/>
        <w:jc w:val="both"/>
      </w:pPr>
      <w:r w:rsidRPr="00E13676">
        <w:rPr>
          <w:b/>
          <w:bCs/>
        </w:rPr>
        <w:t>6</w:t>
      </w:r>
      <w:r w:rsidR="008D17C2" w:rsidRPr="00E13676">
        <w:rPr>
          <w:b/>
          <w:bCs/>
        </w:rPr>
        <w:t>)</w:t>
      </w:r>
      <w:r w:rsidR="008D17C2" w:rsidRPr="00E13676">
        <w:t xml:space="preserve"> </w:t>
      </w:r>
      <w:bookmarkStart w:id="68" w:name="_Hlk169708054"/>
      <w:r w:rsidR="008D17C2" w:rsidRPr="00E13676">
        <w:t xml:space="preserve">Формуляр за самооценка за спазване на принципа за </w:t>
      </w:r>
      <w:r w:rsidR="00434083">
        <w:t>„</w:t>
      </w:r>
      <w:r w:rsidR="008D17C2" w:rsidRPr="00E13676">
        <w:t xml:space="preserve">ненанасяне на значителни </w:t>
      </w:r>
      <w:r w:rsidR="008D17C2" w:rsidRPr="00806E95">
        <w:t>вреди</w:t>
      </w:r>
      <w:bookmarkEnd w:id="68"/>
      <w:r w:rsidR="00434083" w:rsidRPr="00806E95">
        <w:t>“</w:t>
      </w:r>
      <w:r w:rsidR="008D17C2" w:rsidRPr="00806E95">
        <w:t xml:space="preserve"> (по образец - Приложение </w:t>
      </w:r>
      <w:r w:rsidR="00765618" w:rsidRPr="00806E95">
        <w:t>7</w:t>
      </w:r>
      <w:r w:rsidR="008D17C2" w:rsidRPr="00806E95">
        <w:t>)</w:t>
      </w:r>
      <w:r w:rsidR="001427A0" w:rsidRPr="00806E95">
        <w:t>.</w:t>
      </w:r>
    </w:p>
    <w:p w:rsidR="00511289" w:rsidRPr="00E13676" w:rsidRDefault="00DC21CD" w:rsidP="007C388C">
      <w:pPr>
        <w:suppressAutoHyphens/>
        <w:spacing w:before="120" w:after="120" w:line="360" w:lineRule="auto"/>
        <w:jc w:val="both"/>
      </w:pPr>
      <w:r w:rsidRPr="00E13676">
        <w:rPr>
          <w:b/>
        </w:rPr>
        <w:t>7</w:t>
      </w:r>
      <w:r w:rsidR="008D17C2" w:rsidRPr="00E13676">
        <w:rPr>
          <w:b/>
        </w:rPr>
        <w:t>)</w:t>
      </w:r>
      <w:r w:rsidR="008D17C2" w:rsidRPr="00E13676">
        <w:t xml:space="preserve"> Финансови отчети и/или консолидирани финансови отчети за последната приключена финансова година, както и годишен отчет за дейността за последните </w:t>
      </w:r>
      <w:r w:rsidR="00F653B3" w:rsidRPr="00E13676">
        <w:t>две</w:t>
      </w:r>
      <w:r w:rsidR="008D17C2" w:rsidRPr="00E13676">
        <w:t xml:space="preserve"> приключени финансови години</w:t>
      </w:r>
      <w:r w:rsidR="00765618" w:rsidRPr="00E13676">
        <w:t xml:space="preserve"> и/или одитиран междинен финансов отчет или междинен консолидиран финансов отчет</w:t>
      </w:r>
      <w:r w:rsidR="00F653B3" w:rsidRPr="00E13676">
        <w:t>.</w:t>
      </w:r>
    </w:p>
    <w:p w:rsidR="003F1496" w:rsidRPr="00E13676" w:rsidRDefault="003F1496" w:rsidP="007C388C">
      <w:pPr>
        <w:pStyle w:val="Heading2"/>
        <w:suppressAutoHyphens/>
        <w:spacing w:after="120" w:line="360" w:lineRule="auto"/>
        <w:rPr>
          <w:rFonts w:ascii="Times New Roman" w:hAnsi="Times New Roman"/>
          <w:sz w:val="24"/>
          <w:szCs w:val="24"/>
        </w:rPr>
      </w:pPr>
      <w:bookmarkStart w:id="69" w:name="_Toc106285950"/>
      <w:bookmarkStart w:id="70" w:name="_Toc183440911"/>
      <w:r w:rsidRPr="00E13676">
        <w:rPr>
          <w:rFonts w:ascii="Times New Roman" w:hAnsi="Times New Roman"/>
          <w:sz w:val="24"/>
          <w:szCs w:val="24"/>
        </w:rPr>
        <w:t>2</w:t>
      </w:r>
      <w:r w:rsidR="009E1720" w:rsidRPr="00E13676">
        <w:rPr>
          <w:rFonts w:ascii="Times New Roman" w:hAnsi="Times New Roman"/>
          <w:sz w:val="24"/>
          <w:szCs w:val="24"/>
        </w:rPr>
        <w:t>1</w:t>
      </w:r>
      <w:r w:rsidRPr="00E13676">
        <w:rPr>
          <w:rFonts w:ascii="Times New Roman" w:hAnsi="Times New Roman"/>
          <w:sz w:val="24"/>
          <w:szCs w:val="24"/>
        </w:rPr>
        <w:t>. Краен срок за подаване на предложенията за изпълнение на инвестиция:</w:t>
      </w:r>
      <w:bookmarkEnd w:id="69"/>
      <w:bookmarkEnd w:id="70"/>
      <w:r w:rsidRPr="00E13676" w:rsidDel="0063166B">
        <w:rPr>
          <w:rFonts w:ascii="Times New Roman" w:hAnsi="Times New Roman"/>
          <w:sz w:val="24"/>
          <w:szCs w:val="24"/>
        </w:rPr>
        <w:t xml:space="preserve"> </w:t>
      </w:r>
    </w:p>
    <w:p w:rsidR="00654A90" w:rsidRDefault="00654A90" w:rsidP="007C388C">
      <w:pPr>
        <w:suppressAutoHyphens/>
        <w:spacing w:before="120" w:after="120" w:line="360" w:lineRule="auto"/>
        <w:jc w:val="both"/>
      </w:pPr>
      <w:r>
        <w:t xml:space="preserve">Крайният срок за подаване на предложения за изпълнение на инвестиция е 17:30 часа на </w:t>
      </w:r>
      <w:r w:rsidR="004861F5">
        <w:t>…………</w:t>
      </w:r>
      <w:r>
        <w:t>202</w:t>
      </w:r>
      <w:r w:rsidR="004861F5">
        <w:t>5</w:t>
      </w:r>
      <w:r w:rsidR="002009EF">
        <w:t xml:space="preserve"> </w:t>
      </w:r>
      <w:r>
        <w:t>г.</w:t>
      </w:r>
    </w:p>
    <w:p w:rsidR="00654A90" w:rsidRDefault="00654A90" w:rsidP="007C388C">
      <w:pPr>
        <w:suppressAutoHyphens/>
        <w:spacing w:before="120" w:after="120" w:line="360" w:lineRule="auto"/>
        <w:jc w:val="both"/>
      </w:pPr>
    </w:p>
    <w:p w:rsidR="00654A90" w:rsidRDefault="00654A90" w:rsidP="007C388C">
      <w:pPr>
        <w:pStyle w:val="Heading2"/>
        <w:suppressAutoHyphens/>
        <w:spacing w:after="120" w:line="360" w:lineRule="auto"/>
        <w:rPr>
          <w:rFonts w:ascii="Times New Roman" w:hAnsi="Times New Roman"/>
          <w:sz w:val="24"/>
          <w:szCs w:val="24"/>
        </w:rPr>
      </w:pPr>
      <w:bookmarkStart w:id="71" w:name="_Toc106285951"/>
      <w:bookmarkStart w:id="72" w:name="_Toc183440912"/>
      <w:r>
        <w:rPr>
          <w:rFonts w:ascii="Times New Roman" w:hAnsi="Times New Roman"/>
          <w:sz w:val="24"/>
          <w:szCs w:val="24"/>
        </w:rPr>
        <w:t>22. Адрес за подаване на предложенията за изпълнение на инвестиция</w:t>
      </w:r>
      <w:bookmarkEnd w:id="71"/>
      <w:bookmarkEnd w:id="72"/>
    </w:p>
    <w:p w:rsidR="00654A90" w:rsidRDefault="00654A90" w:rsidP="007C388C">
      <w:pPr>
        <w:suppressAutoHyphens/>
        <w:spacing w:before="120" w:after="120" w:line="360" w:lineRule="auto"/>
        <w:jc w:val="both"/>
        <w:rPr>
          <w:rStyle w:val="Hyperlink"/>
        </w:rPr>
      </w:pPr>
      <w:r>
        <w:t xml:space="preserve">Предложенията за изпълнение на инвестиция по настоящата процедура се подават  изцяло по електронен път чрез ИСМ-ИСУН 2020, раздел НПВУ на следния интернет адрес: </w:t>
      </w:r>
      <w:hyperlink r:id="rId12" w:history="1">
        <w:r>
          <w:rPr>
            <w:rStyle w:val="Hyperlink"/>
          </w:rPr>
          <w:t>https://eumis2020.government.bg/bg/s/800c457d-e8be-4421-8ed9-9e78d0a75c39/Procedure/Active</w:t>
        </w:r>
      </w:hyperlink>
    </w:p>
    <w:p w:rsidR="00654A90" w:rsidRDefault="00654A90" w:rsidP="007C388C">
      <w:pPr>
        <w:suppressAutoHyphens/>
        <w:spacing w:before="120" w:after="120" w:line="360" w:lineRule="auto"/>
        <w:jc w:val="both"/>
      </w:pPr>
      <w:r>
        <w:t>Банкова гаранция за участие се подава в оригинал чрез куриер или лично в МТС в срок до 5 дни след крайния срок за подаване на предложения за изпълнение на инвестицията на следния адрес: София 1000, ул. „Дякон Игнатий“ 9-11, Министерство на транспорта и съобщенията, Директор на дирекция „Финанси“.</w:t>
      </w:r>
    </w:p>
    <w:p w:rsidR="00654A90" w:rsidRDefault="00654A90" w:rsidP="007C388C">
      <w:pPr>
        <w:suppressAutoHyphens/>
        <w:spacing w:before="120" w:after="120" w:line="360" w:lineRule="auto"/>
        <w:jc w:val="both"/>
      </w:pPr>
    </w:p>
    <w:p w:rsidR="00654A90" w:rsidRDefault="00654A90" w:rsidP="007C388C">
      <w:pPr>
        <w:pStyle w:val="Heading2"/>
        <w:suppressAutoHyphens/>
        <w:spacing w:after="120" w:line="360" w:lineRule="auto"/>
        <w:rPr>
          <w:rFonts w:ascii="Times New Roman" w:hAnsi="Times New Roman"/>
          <w:color w:val="000000" w:themeColor="text1"/>
          <w:sz w:val="24"/>
          <w:szCs w:val="24"/>
        </w:rPr>
      </w:pPr>
      <w:bookmarkStart w:id="73" w:name="_Toc106285952"/>
      <w:bookmarkStart w:id="74" w:name="_Toc183440913"/>
      <w:r>
        <w:rPr>
          <w:rFonts w:ascii="Times New Roman" w:hAnsi="Times New Roman"/>
          <w:color w:val="000000" w:themeColor="text1"/>
          <w:sz w:val="24"/>
          <w:szCs w:val="24"/>
        </w:rPr>
        <w:t>23. Допълнителна информация:</w:t>
      </w:r>
      <w:bookmarkEnd w:id="73"/>
      <w:bookmarkEnd w:id="74"/>
    </w:p>
    <w:p w:rsidR="00654A90" w:rsidRDefault="00654A90" w:rsidP="007C388C">
      <w:pPr>
        <w:pStyle w:val="Heading3"/>
        <w:suppressAutoHyphens/>
        <w:spacing w:before="120" w:after="120" w:line="360" w:lineRule="auto"/>
        <w:rPr>
          <w:rFonts w:ascii="Times New Roman" w:hAnsi="Times New Roman"/>
          <w:sz w:val="24"/>
          <w:szCs w:val="24"/>
        </w:rPr>
      </w:pPr>
      <w:bookmarkStart w:id="75" w:name="_Toc183440914"/>
      <w:bookmarkStart w:id="76" w:name="_Toc106374846"/>
      <w:r>
        <w:rPr>
          <w:rFonts w:ascii="Times New Roman" w:hAnsi="Times New Roman"/>
          <w:sz w:val="24"/>
          <w:szCs w:val="24"/>
        </w:rPr>
        <w:lastRenderedPageBreak/>
        <w:t>23.1. Процедура за уведомяване на неуспелите кандидати:</w:t>
      </w:r>
      <w:bookmarkEnd w:id="75"/>
      <w:r>
        <w:rPr>
          <w:rFonts w:ascii="Times New Roman" w:hAnsi="Times New Roman"/>
          <w:sz w:val="24"/>
          <w:szCs w:val="24"/>
        </w:rPr>
        <w:t xml:space="preserve"> </w:t>
      </w:r>
      <w:bookmarkEnd w:id="76"/>
    </w:p>
    <w:p w:rsidR="00654A90" w:rsidRDefault="00654A90" w:rsidP="007C388C">
      <w:pPr>
        <w:suppressAutoHyphens/>
        <w:spacing w:before="120" w:after="120" w:line="360" w:lineRule="auto"/>
        <w:jc w:val="both"/>
        <w:rPr>
          <w:color w:val="000000" w:themeColor="text1"/>
        </w:rPr>
      </w:pPr>
      <w:r>
        <w:rPr>
          <w:color w:val="000000" w:themeColor="text1"/>
        </w:rPr>
        <w:t>В 10-дневен срок от одобряване на оценителния доклад, ръководителят на СНД издава мотивирано решение, с което отказва предоставянето на средства на кандидатите, които не се допускат до техническа и финансова оценка и които не са подали възражение, включително при невъзможност да бъде извършена корекция на основание чл. 16, ал. 8 във връзка с чл. 16, ал. 9 на ПМС 114/2022 г.</w:t>
      </w:r>
    </w:p>
    <w:p w:rsidR="00654A90" w:rsidRDefault="00654A90" w:rsidP="007C388C">
      <w:pPr>
        <w:suppressAutoHyphens/>
        <w:spacing w:before="120" w:after="120" w:line="360" w:lineRule="auto"/>
        <w:jc w:val="both"/>
        <w:rPr>
          <w:color w:val="000000" w:themeColor="text1"/>
        </w:rPr>
      </w:pPr>
      <w:r>
        <w:rPr>
          <w:color w:val="000000" w:themeColor="text1"/>
        </w:rPr>
        <w:t xml:space="preserve">Решенията са индивидуални административни актове, които се публикуват на интернет страницата на СНД (при съобразяване с изискванията на Закона за защита на личните данни) и се съобщават на кандидатите чрез ИСМ-ИСУН 2020, раздел НПВУ. </w:t>
      </w:r>
    </w:p>
    <w:p w:rsidR="00654A90" w:rsidRDefault="00654A90" w:rsidP="007C388C">
      <w:pPr>
        <w:suppressAutoHyphens/>
        <w:spacing w:before="120" w:after="120" w:line="360" w:lineRule="auto"/>
        <w:jc w:val="both"/>
        <w:rPr>
          <w:color w:val="000000" w:themeColor="text1"/>
        </w:rPr>
      </w:pPr>
      <w:r>
        <w:rPr>
          <w:color w:val="000000" w:themeColor="text1"/>
        </w:rPr>
        <w:t xml:space="preserve">Решенията подлежат на обжалване по реда на АПК. </w:t>
      </w:r>
    </w:p>
    <w:p w:rsidR="00023377" w:rsidRDefault="00023377" w:rsidP="007C388C">
      <w:pPr>
        <w:suppressAutoHyphens/>
        <w:spacing w:before="120" w:after="120" w:line="360" w:lineRule="auto"/>
        <w:jc w:val="both"/>
        <w:rPr>
          <w:color w:val="000000" w:themeColor="text1"/>
        </w:rPr>
      </w:pPr>
    </w:p>
    <w:p w:rsidR="00654A90" w:rsidRDefault="00654A90" w:rsidP="007C388C">
      <w:pPr>
        <w:pStyle w:val="Heading3"/>
        <w:suppressAutoHyphens/>
        <w:spacing w:before="120" w:after="120" w:line="360" w:lineRule="auto"/>
        <w:rPr>
          <w:rFonts w:ascii="Times New Roman" w:hAnsi="Times New Roman"/>
          <w:sz w:val="24"/>
          <w:szCs w:val="24"/>
        </w:rPr>
      </w:pPr>
      <w:bookmarkStart w:id="77" w:name="_Toc183440915"/>
      <w:r>
        <w:rPr>
          <w:rFonts w:ascii="Times New Roman" w:hAnsi="Times New Roman"/>
          <w:sz w:val="24"/>
          <w:szCs w:val="24"/>
        </w:rPr>
        <w:t>23.2. Процедура за сключване на договори за финансиране с крайните получатели и издаване на откази за предоставяне на средства</w:t>
      </w:r>
      <w:bookmarkEnd w:id="77"/>
    </w:p>
    <w:p w:rsidR="00654A90" w:rsidRDefault="00654A90" w:rsidP="007C388C">
      <w:pPr>
        <w:spacing w:before="120" w:after="120" w:line="360" w:lineRule="auto"/>
        <w:jc w:val="both"/>
        <w:rPr>
          <w:b/>
          <w:bCs/>
        </w:rPr>
      </w:pPr>
      <w:r>
        <w:rPr>
          <w:b/>
          <w:bCs/>
        </w:rPr>
        <w:t>Договор за финансиране с крайния получател</w:t>
      </w:r>
    </w:p>
    <w:p w:rsidR="00654A90" w:rsidRDefault="00654A90" w:rsidP="007C388C">
      <w:pPr>
        <w:spacing w:before="120" w:after="120" w:line="360" w:lineRule="auto"/>
        <w:jc w:val="both"/>
      </w:pPr>
      <w:r>
        <w:t xml:space="preserve">В срок до 15 работни дни от влизането в сила на решението за предоставяне на средства от НПВУ ръководителят на СНД сключва договор за финансиране с крайния получател. </w:t>
      </w:r>
    </w:p>
    <w:p w:rsidR="00521595" w:rsidRPr="00521595" w:rsidRDefault="00654A90" w:rsidP="007C388C">
      <w:pPr>
        <w:pBdr>
          <w:top w:val="double" w:sz="4" w:space="1" w:color="538135"/>
          <w:left w:val="double" w:sz="4" w:space="4" w:color="538135"/>
          <w:bottom w:val="double" w:sz="4" w:space="1" w:color="538135"/>
          <w:right w:val="double" w:sz="4" w:space="4" w:color="538135"/>
        </w:pBdr>
        <w:suppressAutoHyphens/>
        <w:spacing w:before="120" w:after="120" w:line="360" w:lineRule="auto"/>
        <w:jc w:val="both"/>
        <w:rPr>
          <w:bCs/>
        </w:rPr>
      </w:pPr>
      <w:r>
        <w:rPr>
          <w:b/>
          <w:color w:val="000000" w:themeColor="text1"/>
        </w:rPr>
        <w:t xml:space="preserve">ВАЖНО: </w:t>
      </w:r>
      <w:r w:rsidR="00521595" w:rsidRPr="00521595">
        <w:rPr>
          <w:bCs/>
        </w:rPr>
        <w:t>За информиране на ЕК, чрез Системата за електронно уведомяване – SANI2 се въвежда информация по стандартизирания формат по Приложение II от Регламент на Комисията (ЕС) № 651/2014, заедно с връзка за достъп до пълния текст на мярката за помощ, в срок от 20 работни дни след влизането ѝ в сила.</w:t>
      </w:r>
    </w:p>
    <w:p w:rsidR="00654A90" w:rsidRDefault="00654A90" w:rsidP="007C388C">
      <w:pPr>
        <w:spacing w:before="120" w:after="120" w:line="360" w:lineRule="auto"/>
        <w:jc w:val="both"/>
      </w:pPr>
      <w:r>
        <w:t>Договорът задължително включва:</w:t>
      </w:r>
    </w:p>
    <w:p w:rsidR="00654A90" w:rsidRDefault="00654A90" w:rsidP="007C5F0B">
      <w:pPr>
        <w:pStyle w:val="ListParagraph"/>
        <w:numPr>
          <w:ilvl w:val="0"/>
          <w:numId w:val="31"/>
        </w:numPr>
        <w:spacing w:line="360" w:lineRule="auto"/>
        <w:rPr>
          <w:rFonts w:ascii="Times New Roman" w:hAnsi="Times New Roman"/>
          <w:sz w:val="24"/>
          <w:szCs w:val="24"/>
        </w:rPr>
      </w:pPr>
      <w:r>
        <w:rPr>
          <w:rFonts w:ascii="Times New Roman" w:hAnsi="Times New Roman"/>
          <w:sz w:val="24"/>
          <w:szCs w:val="24"/>
        </w:rPr>
        <w:t>наименование и седалище на адресата - краен получател на средствата;</w:t>
      </w:r>
    </w:p>
    <w:p w:rsidR="00654A90" w:rsidRDefault="00654A90" w:rsidP="007C5F0B">
      <w:pPr>
        <w:pStyle w:val="ListParagraph"/>
        <w:numPr>
          <w:ilvl w:val="0"/>
          <w:numId w:val="31"/>
        </w:numPr>
        <w:spacing w:line="360" w:lineRule="auto"/>
        <w:rPr>
          <w:rFonts w:ascii="Times New Roman" w:hAnsi="Times New Roman"/>
          <w:sz w:val="24"/>
          <w:szCs w:val="24"/>
        </w:rPr>
      </w:pPr>
      <w:r>
        <w:rPr>
          <w:rFonts w:ascii="Times New Roman" w:hAnsi="Times New Roman"/>
          <w:sz w:val="24"/>
          <w:szCs w:val="24"/>
        </w:rPr>
        <w:t>наименование, стойност, основни дейности, индикатори, период и срокове за изпълнение на инвестицията, за която се предоставят средствата;</w:t>
      </w:r>
    </w:p>
    <w:p w:rsidR="00654A90" w:rsidRDefault="00654A90" w:rsidP="007C5F0B">
      <w:pPr>
        <w:pStyle w:val="ListParagraph"/>
        <w:numPr>
          <w:ilvl w:val="0"/>
          <w:numId w:val="31"/>
        </w:numPr>
        <w:spacing w:line="360" w:lineRule="auto"/>
        <w:rPr>
          <w:rFonts w:ascii="Times New Roman" w:hAnsi="Times New Roman"/>
          <w:sz w:val="24"/>
          <w:szCs w:val="24"/>
        </w:rPr>
      </w:pPr>
      <w:r>
        <w:rPr>
          <w:rFonts w:ascii="Times New Roman" w:hAnsi="Times New Roman"/>
          <w:sz w:val="24"/>
          <w:szCs w:val="24"/>
        </w:rPr>
        <w:lastRenderedPageBreak/>
        <w:t>максимален размер на средствата по инвестицията, по която те се предоставят;</w:t>
      </w:r>
    </w:p>
    <w:p w:rsidR="00654A90" w:rsidRDefault="00654A90" w:rsidP="007C5F0B">
      <w:pPr>
        <w:pStyle w:val="ListParagraph"/>
        <w:numPr>
          <w:ilvl w:val="0"/>
          <w:numId w:val="31"/>
        </w:numPr>
        <w:spacing w:line="360" w:lineRule="auto"/>
        <w:rPr>
          <w:rFonts w:ascii="Times New Roman" w:hAnsi="Times New Roman"/>
          <w:sz w:val="24"/>
          <w:szCs w:val="24"/>
        </w:rPr>
      </w:pPr>
      <w:r>
        <w:rPr>
          <w:rFonts w:ascii="Times New Roman" w:hAnsi="Times New Roman"/>
          <w:sz w:val="24"/>
          <w:szCs w:val="24"/>
        </w:rPr>
        <w:t>конкретизация на условията за изпълнение на инвестицията;</w:t>
      </w:r>
    </w:p>
    <w:p w:rsidR="00654A90" w:rsidRDefault="00654A90" w:rsidP="007C5F0B">
      <w:pPr>
        <w:pStyle w:val="ListParagraph"/>
        <w:numPr>
          <w:ilvl w:val="0"/>
          <w:numId w:val="31"/>
        </w:numPr>
        <w:spacing w:line="360" w:lineRule="auto"/>
        <w:rPr>
          <w:rFonts w:ascii="Times New Roman" w:hAnsi="Times New Roman"/>
          <w:sz w:val="24"/>
          <w:szCs w:val="24"/>
        </w:rPr>
      </w:pPr>
      <w:r>
        <w:rPr>
          <w:rFonts w:ascii="Times New Roman" w:hAnsi="Times New Roman"/>
          <w:sz w:val="24"/>
          <w:szCs w:val="24"/>
        </w:rPr>
        <w:t>етапи и цели;</w:t>
      </w:r>
    </w:p>
    <w:p w:rsidR="00654A90" w:rsidRDefault="00654A90" w:rsidP="007C5F0B">
      <w:pPr>
        <w:pStyle w:val="ListParagraph"/>
        <w:numPr>
          <w:ilvl w:val="0"/>
          <w:numId w:val="31"/>
        </w:numPr>
        <w:spacing w:line="360" w:lineRule="auto"/>
        <w:rPr>
          <w:rFonts w:ascii="Times New Roman" w:hAnsi="Times New Roman"/>
          <w:sz w:val="24"/>
          <w:szCs w:val="24"/>
        </w:rPr>
      </w:pPr>
      <w:r>
        <w:rPr>
          <w:rFonts w:ascii="Times New Roman" w:hAnsi="Times New Roman"/>
          <w:sz w:val="24"/>
          <w:szCs w:val="24"/>
        </w:rPr>
        <w:t xml:space="preserve">информация, че средствата имат характер на </w:t>
      </w:r>
      <w:r w:rsidR="00521595">
        <w:rPr>
          <w:rFonts w:ascii="Times New Roman" w:hAnsi="Times New Roman"/>
          <w:sz w:val="24"/>
          <w:szCs w:val="24"/>
        </w:rPr>
        <w:t>помощ</w:t>
      </w:r>
      <w:r w:rsidR="00244CF6">
        <w:rPr>
          <w:rFonts w:ascii="Times New Roman" w:hAnsi="Times New Roman"/>
          <w:sz w:val="24"/>
          <w:szCs w:val="24"/>
        </w:rPr>
        <w:t xml:space="preserve"> за широколентова инфраструктура</w:t>
      </w:r>
      <w:r w:rsidR="00521595">
        <w:rPr>
          <w:rFonts w:ascii="Times New Roman" w:hAnsi="Times New Roman"/>
          <w:sz w:val="24"/>
          <w:szCs w:val="24"/>
        </w:rPr>
        <w:t xml:space="preserve"> в съответствие с</w:t>
      </w:r>
      <w:r>
        <w:rPr>
          <w:rFonts w:ascii="Times New Roman" w:hAnsi="Times New Roman"/>
          <w:sz w:val="24"/>
          <w:szCs w:val="24"/>
        </w:rPr>
        <w:t xml:space="preserve"> </w:t>
      </w:r>
      <w:r w:rsidR="00521595" w:rsidRPr="00521595">
        <w:rPr>
          <w:rFonts w:ascii="Times New Roman" w:hAnsi="Times New Roman"/>
          <w:sz w:val="24"/>
          <w:szCs w:val="24"/>
        </w:rPr>
        <w:t>Регламент на Комисията (ЕС) № 651/2014</w:t>
      </w:r>
      <w:r>
        <w:rPr>
          <w:rFonts w:ascii="Times New Roman" w:hAnsi="Times New Roman"/>
          <w:sz w:val="24"/>
          <w:szCs w:val="24"/>
        </w:rPr>
        <w:t>;</w:t>
      </w:r>
    </w:p>
    <w:p w:rsidR="00654A90" w:rsidRDefault="00654A90" w:rsidP="007C5F0B">
      <w:pPr>
        <w:pStyle w:val="ListParagraph"/>
        <w:numPr>
          <w:ilvl w:val="0"/>
          <w:numId w:val="31"/>
        </w:numPr>
        <w:spacing w:line="360" w:lineRule="auto"/>
        <w:rPr>
          <w:rFonts w:ascii="Times New Roman" w:hAnsi="Times New Roman"/>
          <w:sz w:val="24"/>
          <w:szCs w:val="24"/>
        </w:rPr>
      </w:pPr>
      <w:r>
        <w:rPr>
          <w:rFonts w:ascii="Times New Roman" w:hAnsi="Times New Roman"/>
          <w:sz w:val="24"/>
          <w:szCs w:val="24"/>
        </w:rPr>
        <w:t>процедура за проверка на резултатите по проекта за периода на устойчивост на инвестицията.</w:t>
      </w:r>
    </w:p>
    <w:p w:rsidR="00654A90" w:rsidRDefault="00654A90" w:rsidP="007C388C">
      <w:pPr>
        <w:spacing w:before="120" w:after="120" w:line="360" w:lineRule="auto"/>
        <w:jc w:val="both"/>
      </w:pPr>
      <w:r>
        <w:t>Одобреното предложение за изпълнение на инвестиция и настоящите Условия за кандидатстване в частта, определяща условията за изпълнение, са неразделна част от договора.</w:t>
      </w:r>
    </w:p>
    <w:p w:rsidR="00654A90" w:rsidRDefault="00654A90" w:rsidP="007C388C">
      <w:pPr>
        <w:spacing w:before="120" w:after="120" w:line="360" w:lineRule="auto"/>
        <w:jc w:val="both"/>
      </w:pPr>
      <w:r>
        <w:t>Сключеният договор за финансиране, съответно заповедта, включително одобрената инвестиция, може да бъде изменян и/или допълван в случаите и по реда, посочени в чл. 28 от ПМС № 114/08.06.2022 г.</w:t>
      </w:r>
    </w:p>
    <w:p w:rsidR="00654A90" w:rsidRDefault="00654A90" w:rsidP="007C388C">
      <w:pPr>
        <w:spacing w:before="120" w:after="120" w:line="360" w:lineRule="auto"/>
        <w:jc w:val="both"/>
        <w:rPr>
          <w:color w:val="000000" w:themeColor="text1"/>
        </w:rPr>
      </w:pPr>
      <w:r>
        <w:rPr>
          <w:color w:val="000000" w:themeColor="text1"/>
        </w:rPr>
        <w:t xml:space="preserve">Процедурата по проверка на документалната допустимост на кандидатите ще се извършва изцяло в електронна среда чрез системата ИСМ-ИСУН 2020, раздел НПВУ, поради което комуникацията между СНД и кандидатите ще се води единствено през нея. Чрез ИСМ-ИСУН 2020, раздел НПВУ до всеки одобрен за финансиране кандидат се изпраща електронно уведомление (покана по чл. 19 от ПМС 114/2022г.) за представяне на конкретни изброени доказателства за доказване на съответствието му с изискванията за краен получател. Поканите, с които се изисква представянето на доказателства за съответствие с изискванията за краен получател са електронни документи с електронен подпис на ръководителя на СНД/оправомощено от него лице и се изпращат чрез системата ИСМ-ИСУН 2020, раздел НПВУ. </w:t>
      </w:r>
    </w:p>
    <w:p w:rsidR="00654A90" w:rsidRDefault="00654A90" w:rsidP="007C388C">
      <w:pPr>
        <w:spacing w:before="120" w:after="120" w:line="360" w:lineRule="auto"/>
        <w:jc w:val="both"/>
        <w:rPr>
          <w:color w:val="000000" w:themeColor="text1"/>
        </w:rPr>
      </w:pPr>
      <w:r>
        <w:rPr>
          <w:color w:val="000000" w:themeColor="text1"/>
        </w:rPr>
        <w:t>Уведомлението съдържа указания за вида и формата за действителност на изисканите доказателства, както и срока, в който тези доказателства следва да бъдат представени. Поканите се считат за получени от съответния кандидат с изпращането им в ИСМ-ИСУН 2020, раздел НПВУ.</w:t>
      </w:r>
    </w:p>
    <w:p w:rsidR="00654A90" w:rsidRDefault="00654A90" w:rsidP="007C388C">
      <w:pPr>
        <w:pBdr>
          <w:top w:val="double" w:sz="4" w:space="1" w:color="538135"/>
          <w:left w:val="double" w:sz="4" w:space="4" w:color="538135"/>
          <w:bottom w:val="double" w:sz="4" w:space="1" w:color="538135"/>
          <w:right w:val="double" w:sz="4" w:space="4" w:color="538135"/>
        </w:pBdr>
        <w:spacing w:before="120" w:after="120" w:line="360" w:lineRule="auto"/>
        <w:jc w:val="both"/>
        <w:rPr>
          <w:bCs/>
          <w:color w:val="000000" w:themeColor="text1"/>
        </w:rPr>
      </w:pPr>
      <w:r>
        <w:rPr>
          <w:b/>
          <w:bCs/>
          <w:color w:val="000000" w:themeColor="text1"/>
        </w:rPr>
        <w:lastRenderedPageBreak/>
        <w:t xml:space="preserve">ВАЖНО: </w:t>
      </w:r>
      <w:r>
        <w:rPr>
          <w:bCs/>
          <w:color w:val="000000" w:themeColor="text1"/>
        </w:rPr>
        <w:t>Следва да се има предвид, че изискуемите при извършваната проверка декларации са частни документи, които следва да са издадени като електронни такива. В този смисъл те следва да са подписани с КЕП на задълженото лице – законния представляващ на кандидата или законните представляващи го (в случаите, когато се представлява само заедно) и за представянето им институтът на упълномощаването е неприложим.</w:t>
      </w:r>
    </w:p>
    <w:p w:rsidR="00654A90" w:rsidRDefault="00654A90" w:rsidP="007C388C">
      <w:pPr>
        <w:spacing w:before="120" w:after="120" w:line="360" w:lineRule="auto"/>
        <w:jc w:val="both"/>
        <w:rPr>
          <w:b/>
          <w:color w:val="000000" w:themeColor="text1"/>
        </w:rPr>
      </w:pPr>
      <w:r>
        <w:rPr>
          <w:b/>
          <w:color w:val="000000" w:themeColor="text1"/>
        </w:rPr>
        <w:t>I. Списък на документите, които се подават на етап сключване на договори за финансиране с крайните получатели:</w:t>
      </w:r>
    </w:p>
    <w:p w:rsidR="00654A90" w:rsidRPr="00806E95" w:rsidRDefault="00654A90" w:rsidP="007C388C">
      <w:pPr>
        <w:spacing w:before="120" w:after="120" w:line="360" w:lineRule="auto"/>
        <w:jc w:val="both"/>
        <w:rPr>
          <w:bCs/>
          <w:color w:val="000000" w:themeColor="text1"/>
        </w:rPr>
      </w:pPr>
      <w:r>
        <w:rPr>
          <w:b/>
          <w:color w:val="000000" w:themeColor="text1"/>
        </w:rPr>
        <w:t>1)</w:t>
      </w:r>
      <w:r>
        <w:rPr>
          <w:bCs/>
          <w:color w:val="000000" w:themeColor="text1"/>
        </w:rPr>
        <w:t xml:space="preserve"> </w:t>
      </w:r>
      <w:bookmarkStart w:id="78" w:name="_Hlk169708310"/>
      <w:bookmarkStart w:id="79" w:name="_Hlk147264452"/>
      <w:r w:rsidRPr="00806E95">
        <w:rPr>
          <w:bCs/>
          <w:color w:val="000000" w:themeColor="text1"/>
        </w:rPr>
        <w:t xml:space="preserve">декларация за липса на промяна във вече декларирани обстоятелства и представени документи </w:t>
      </w:r>
      <w:bookmarkEnd w:id="78"/>
      <w:r w:rsidRPr="00806E95">
        <w:rPr>
          <w:bCs/>
          <w:color w:val="000000" w:themeColor="text1"/>
        </w:rPr>
        <w:t>(Приложение 10) или нови декларации за настъпили промени във вече декларирани обстоятелствата с изчерпателно изброяване на промените. За формата и начина на подписване на декларациите се прилагат изискваният по т. 20.</w:t>
      </w:r>
    </w:p>
    <w:bookmarkEnd w:id="79"/>
    <w:p w:rsidR="00654A90" w:rsidRDefault="00654A90" w:rsidP="007C388C">
      <w:pPr>
        <w:spacing w:before="120" w:after="120" w:line="360" w:lineRule="auto"/>
        <w:jc w:val="both"/>
        <w:rPr>
          <w:bCs/>
          <w:color w:val="000000" w:themeColor="text1"/>
        </w:rPr>
      </w:pPr>
      <w:r w:rsidRPr="00806E95">
        <w:rPr>
          <w:b/>
          <w:color w:val="000000" w:themeColor="text1"/>
        </w:rPr>
        <w:t xml:space="preserve">2) </w:t>
      </w:r>
      <w:r w:rsidRPr="00806E95">
        <w:rPr>
          <w:bCs/>
          <w:color w:val="000000" w:themeColor="text1"/>
        </w:rPr>
        <w:t>Банкова гаранция за изпълнение – оригинал (по образец – Приложение 4)</w:t>
      </w:r>
      <w:r>
        <w:rPr>
          <w:bCs/>
          <w:color w:val="000000" w:themeColor="text1"/>
        </w:rPr>
        <w:t xml:space="preserve"> </w:t>
      </w:r>
    </w:p>
    <w:p w:rsidR="00916A29" w:rsidRDefault="00916A29" w:rsidP="007C388C">
      <w:pPr>
        <w:spacing w:before="120" w:after="120" w:line="360" w:lineRule="auto"/>
        <w:jc w:val="both"/>
      </w:pPr>
      <w:r>
        <w:rPr>
          <w:b/>
        </w:rPr>
        <w:t>3)</w:t>
      </w:r>
      <w:r>
        <w:t xml:space="preserve"> </w:t>
      </w:r>
      <w:r w:rsidRPr="00521595">
        <w:t>Свидетелство за съдимост</w:t>
      </w:r>
      <w:r>
        <w:t xml:space="preserve"> на всички лица, които са официални представляващи на кандидата и са вписани като такива в ТР и Регистъра на ЮЛНЦ, независимо от това дали заедно и/или поотделно, и/или по друг начин.</w:t>
      </w:r>
    </w:p>
    <w:p w:rsidR="00916A29" w:rsidRDefault="00916A29" w:rsidP="007C388C">
      <w:pPr>
        <w:pBdr>
          <w:top w:val="double" w:sz="4" w:space="1" w:color="538135"/>
          <w:left w:val="double" w:sz="4" w:space="4" w:color="538135"/>
          <w:bottom w:val="double" w:sz="4" w:space="1" w:color="538135"/>
          <w:right w:val="double" w:sz="4" w:space="4" w:color="538135"/>
        </w:pBdr>
        <w:spacing w:before="120" w:after="120" w:line="360" w:lineRule="auto"/>
        <w:jc w:val="both"/>
      </w:pPr>
      <w:r>
        <w:rPr>
          <w:b/>
        </w:rPr>
        <w:t>ВАЖНО:</w:t>
      </w:r>
      <w:r>
        <w:t xml:space="preserve"> Служебна проверка е възможно да бъде извършена по отношение на лица, които са родени в България и не са осъждани. Лицата, които са български граждани, но са родени в чужбина, чуждестранните граждани или осъжданите лица следва да представят Свидетелство за съдимост (издадено не по-рано от 6 месеца към датата на сключване на договора). Когато за някое от горепосочените лица свидетелството за съдимост подлежи на издаване от чуждестранен орган, същото се представя и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654A90" w:rsidRDefault="00654A90" w:rsidP="007C388C">
      <w:pPr>
        <w:spacing w:before="120" w:after="120" w:line="360" w:lineRule="auto"/>
        <w:jc w:val="both"/>
        <w:rPr>
          <w:b/>
        </w:rPr>
      </w:pPr>
      <w:r>
        <w:rPr>
          <w:b/>
        </w:rPr>
        <w:lastRenderedPageBreak/>
        <w:t>II</w:t>
      </w:r>
      <w:r>
        <w:t xml:space="preserve">. </w:t>
      </w:r>
      <w:r>
        <w:rPr>
          <w:b/>
        </w:rPr>
        <w:t>Преди сключване на договор за финансиране, СНД ще извършат и следните проверки по отношение на всички кандидати, до които са изпратени покани по чл. 19, ал.2 от ПМС 114/2020:</w:t>
      </w:r>
    </w:p>
    <w:p w:rsidR="00654A90" w:rsidRDefault="00654A90" w:rsidP="007C388C">
      <w:pPr>
        <w:spacing w:before="120" w:after="120" w:line="360" w:lineRule="auto"/>
        <w:jc w:val="both"/>
        <w:rPr>
          <w:b/>
        </w:rPr>
      </w:pPr>
      <w:r>
        <w:rPr>
          <w:b/>
        </w:rPr>
        <w:t>1. Документална проверка за свързани предприятия, включени в списъка с одобрените за финансиране предложения за изпълнение на инвестиция/ списъка с резервни предложения за изпълнение на инвестиция.</w:t>
      </w:r>
    </w:p>
    <w:p w:rsidR="00654A90" w:rsidRDefault="00654A90" w:rsidP="007C388C">
      <w:pPr>
        <w:spacing w:before="120" w:after="120" w:line="360" w:lineRule="auto"/>
        <w:jc w:val="both"/>
        <w:rPr>
          <w:b/>
          <w:color w:val="000000" w:themeColor="text1"/>
        </w:rPr>
      </w:pPr>
      <w:r>
        <w:t xml:space="preserve">Свързаността ще се установява съгласно т. 3 на Приложение </w:t>
      </w:r>
      <w:r w:rsidR="00555A8E">
        <w:rPr>
          <w:lang w:val="en-US"/>
        </w:rPr>
        <w:t>I</w:t>
      </w:r>
      <w:r w:rsidR="00555A8E">
        <w:t xml:space="preserve"> </w:t>
      </w:r>
      <w:r>
        <w:t>на Регламент (ЕС №</w:t>
      </w:r>
      <w:r w:rsidR="00841EC6">
        <w:t xml:space="preserve"> </w:t>
      </w:r>
      <w:r>
        <w:t xml:space="preserve">651/214).  </w:t>
      </w:r>
    </w:p>
    <w:p w:rsidR="00654A90" w:rsidRDefault="00654A90" w:rsidP="007C388C">
      <w:pPr>
        <w:spacing w:before="120" w:after="120" w:line="360" w:lineRule="auto"/>
        <w:jc w:val="both"/>
        <w:rPr>
          <w:color w:val="000000" w:themeColor="text1"/>
        </w:rPr>
      </w:pPr>
      <w:r>
        <w:rPr>
          <w:b/>
          <w:color w:val="000000" w:themeColor="text1"/>
        </w:rPr>
        <w:t>2.</w:t>
      </w:r>
      <w:r>
        <w:rPr>
          <w:color w:val="000000" w:themeColor="text1"/>
        </w:rPr>
        <w:t xml:space="preserve"> </w:t>
      </w:r>
      <w:r>
        <w:rPr>
          <w:b/>
          <w:color w:val="000000" w:themeColor="text1"/>
        </w:rPr>
        <w:t>Член на управителен или контролен орган, както и временно изпълняващ такава длъжност, включително прокурист или търговски пълномощник на кандидата, е свързано лице</w:t>
      </w:r>
      <w:r>
        <w:rPr>
          <w:color w:val="000000" w:themeColor="text1"/>
        </w:rPr>
        <w:t xml:space="preserve"> по смисъла на § 1, т. 15 от допълнителните разпоредби на Закона за противодействие на корупцията и за отнемане на незаконно придобитото имущество с ръководителя на СНД.</w:t>
      </w:r>
    </w:p>
    <w:p w:rsidR="00654A90" w:rsidRDefault="00654A90" w:rsidP="007C388C">
      <w:pPr>
        <w:spacing w:before="120" w:after="120" w:line="360" w:lineRule="auto"/>
        <w:jc w:val="both"/>
        <w:rPr>
          <w:b/>
          <w:color w:val="000000" w:themeColor="text1"/>
        </w:rPr>
      </w:pPr>
      <w:r>
        <w:rPr>
          <w:b/>
          <w:color w:val="000000" w:themeColor="text1"/>
        </w:rPr>
        <w:t>3. Кандидатът е регистриран в ТР и Регистъра на ЮЛНЦ и има регистриран/обявен действителен собственик.</w:t>
      </w:r>
    </w:p>
    <w:p w:rsidR="00654A90" w:rsidRDefault="00654A90" w:rsidP="007C388C">
      <w:pPr>
        <w:spacing w:before="120" w:after="120" w:line="360" w:lineRule="auto"/>
        <w:jc w:val="both"/>
      </w:pPr>
      <w:r>
        <w:rPr>
          <w:b/>
        </w:rPr>
        <w:t>4. Кандидатът отговаря на останалите изисквания и ограничения, поставени в Условията за кандидатстване</w:t>
      </w:r>
      <w:r>
        <w:t xml:space="preserve"> и за които проверка по същество се извършва преди сключване на договор.</w:t>
      </w:r>
    </w:p>
    <w:p w:rsidR="00654A90" w:rsidRDefault="00654A90" w:rsidP="007C388C">
      <w:pPr>
        <w:spacing w:before="120" w:after="120" w:line="360" w:lineRule="auto"/>
        <w:jc w:val="both"/>
      </w:pPr>
      <w:r>
        <w:t>В случай че бъде установено обстоятелство, довело до неспазване на заложени в Условията за кандидатстване правила или ограничения, които водят до заключение, че кандидатът не отговаря на изискванията за краен получател на средства от Механизма, ще бъде издадено Решение за отказ за предоставяне на безвъзмездно финансиране за съответния кандидат.</w:t>
      </w:r>
    </w:p>
    <w:p w:rsidR="00654A90" w:rsidRDefault="00E914E1" w:rsidP="007C388C">
      <w:pPr>
        <w:spacing w:before="120" w:after="120" w:line="360" w:lineRule="auto"/>
        <w:jc w:val="both"/>
        <w:rPr>
          <w:b/>
        </w:rPr>
      </w:pPr>
      <w:r>
        <w:rPr>
          <w:b/>
        </w:rPr>
        <w:t>I</w:t>
      </w:r>
      <w:r>
        <w:rPr>
          <w:b/>
          <w:lang w:val="en-US"/>
        </w:rPr>
        <w:t>II</w:t>
      </w:r>
      <w:r w:rsidR="00654A90">
        <w:rPr>
          <w:b/>
        </w:rPr>
        <w:t>. Преди сключване на договор за финансиране, СНД ще извърши и следните проверки:</w:t>
      </w:r>
    </w:p>
    <w:p w:rsidR="00654A90" w:rsidRDefault="00654A90" w:rsidP="007C388C">
      <w:pPr>
        <w:spacing w:before="120" w:after="120" w:line="360" w:lineRule="auto"/>
        <w:jc w:val="both"/>
      </w:pPr>
      <w:r>
        <w:lastRenderedPageBreak/>
        <w:t xml:space="preserve">1. Кандидати, които са в затруднено положение по смисъла на чл. 2, параграф 18 от Регламент на Комисията (ЕС) № 651/2014. </w:t>
      </w:r>
    </w:p>
    <w:p w:rsidR="00654A90" w:rsidRDefault="00654A90" w:rsidP="007C388C">
      <w:pPr>
        <w:spacing w:before="120" w:after="120" w:line="360" w:lineRule="auto"/>
        <w:jc w:val="both"/>
      </w:pPr>
      <w:r>
        <w:t>2. Кумулативно предоставяне и двойно финансиране по чл. 191 от Регламент (ЕС) 2018/1046.</w:t>
      </w:r>
    </w:p>
    <w:p w:rsidR="00654A90" w:rsidRDefault="004C6C7D" w:rsidP="007C388C">
      <w:pPr>
        <w:spacing w:before="120" w:after="120" w:line="360" w:lineRule="auto"/>
        <w:jc w:val="both"/>
        <w:rPr>
          <w:b/>
          <w:bCs/>
        </w:rPr>
      </w:pPr>
      <w:r>
        <w:rPr>
          <w:b/>
          <w:bCs/>
          <w:lang w:val="en-US"/>
        </w:rPr>
        <w:t>I</w:t>
      </w:r>
      <w:r w:rsidR="00654A90">
        <w:rPr>
          <w:b/>
          <w:bCs/>
        </w:rPr>
        <w:t>V. Изпълнение и електронно отчитане на инвестицията</w:t>
      </w:r>
    </w:p>
    <w:p w:rsidR="00654A90" w:rsidRDefault="00654A90" w:rsidP="007C388C">
      <w:pPr>
        <w:spacing w:before="120" w:after="120" w:line="360" w:lineRule="auto"/>
        <w:jc w:val="both"/>
      </w:pPr>
      <w:r>
        <w:t>За целите на изпълнението и електронното отчитане на инвестицията, одобрените за финансиране крайни получатели следва самостоятелно да създадат потребителски профили за достъп до ИСМ-ИСУН 2020, раздел НПВУ, като използват функционалностите на системата. Потребителските профили за електронно отчитане се създават от одобрените крайни получатели в модул „E-кандидатстване“, раздел „Проектни предложения“, секция (таб) „Профили за Е-отчитане“. За целта в системата следва да се прикачи Заявление за профил за достъп до ИСУН 2020 на Ръководител на отговорно ведомство и организация с определени Структури за наблюдение и докладване, Структури за наблюдение и крайни получатели по Плана за възстановяване и устойчивост (Приложение 3 към Условията за изпълнение) и/или  Заявление за профил за достъп до ИСУН 2020 на лица, упълномощени от отговорното ведомство и организация с определени Структури за наблюдение и докладване, Структури за наблюдение и крайни получатели по Плана за възстановяване и устойчивост (Приложение 4 към Условията за изпълнение) – подписано с валиден КЕП от лице, което е официален представляващ на кандидат</w:t>
      </w:r>
      <w:r w:rsidR="00E869B9">
        <w:t>а и е вписан като такъв в ТР и Р</w:t>
      </w:r>
      <w:r>
        <w:t xml:space="preserve">егистъра на ЮЛНЦ. В случаите, когато крайният получател се представлява само заедно от няколко физически лица, заявлението се попълва и подписва от всички тях. </w:t>
      </w:r>
    </w:p>
    <w:p w:rsidR="00654A90" w:rsidRDefault="00654A90" w:rsidP="007C388C">
      <w:pPr>
        <w:spacing w:before="120" w:after="120" w:line="360" w:lineRule="auto"/>
        <w:jc w:val="both"/>
      </w:pPr>
      <w:r>
        <w:t xml:space="preserve">След проверка на данните, въведени в ИСМ-ИСУН 2020, раздел НПВУ, СНД активира създадения потребителски профил след сключване на договор за финансиране със съответния краен получател. </w:t>
      </w:r>
    </w:p>
    <w:p w:rsidR="00654A90" w:rsidRDefault="00654A90" w:rsidP="007C388C">
      <w:pPr>
        <w:spacing w:before="120" w:after="120" w:line="360" w:lineRule="auto"/>
        <w:jc w:val="both"/>
      </w:pPr>
      <w:r>
        <w:t xml:space="preserve">Ако кандидат по одобрено за финансиране предложение за изпълнение на инвестиция откаже сключване на договор за финансиране, се пристъпва към сключване на договор с </w:t>
      </w:r>
      <w:r>
        <w:lastRenderedPageBreak/>
        <w:t xml:space="preserve">кандидатите от резервния списък (в случай че такъв е съставен) по поредността на класирането им, до изчерпване на наличния бюджет по процедурата. </w:t>
      </w:r>
    </w:p>
    <w:p w:rsidR="00654A90" w:rsidRDefault="00654A90" w:rsidP="007C388C">
      <w:pPr>
        <w:spacing w:before="120" w:after="120" w:line="360" w:lineRule="auto"/>
        <w:jc w:val="both"/>
      </w:pPr>
      <w:r>
        <w:t>В 7-дневен срок от представянето на доказателствата, че кандидатът отговаря на изискванията за краен получател на средства от МВУ, ръководителят на СНД издава решение за предоставяне на средства от МВУ по всяко предложение, включено в списъка на предложените за финансиране предложения, подредени по реда на тяхното класиране,  и размера на средствата от МВУ, които да бъдат предоставени за всяко от тях. При наличие на остатъчен финансов ресурс по процедурата решение за предоставяне на средства от Механизма се издава и за кандидати, включени в списъка с резервните предложения (в случай че такъв е съставен), които успешно са преминали оценяването, но за които не достига финансиране, подредени по реда на тяхното класиране – до изчерпване на средствата по настоящата процедура.</w:t>
      </w:r>
    </w:p>
    <w:p w:rsidR="00654A90" w:rsidRDefault="00654A90" w:rsidP="007C388C">
      <w:pPr>
        <w:spacing w:before="120" w:after="120" w:line="360" w:lineRule="auto"/>
        <w:jc w:val="both"/>
      </w:pPr>
      <w:r>
        <w:t>В срок до 15 работни дни от влизането в сила на решението за предоставяне на средства от НПВУ, ръководителят на СНД сключва договор за финансиране с крайния получател.</w:t>
      </w:r>
    </w:p>
    <w:p w:rsidR="00654A90" w:rsidRDefault="00654A90" w:rsidP="007C388C">
      <w:pPr>
        <w:spacing w:before="120" w:after="120" w:line="360" w:lineRule="auto"/>
        <w:jc w:val="both"/>
      </w:pPr>
      <w:r>
        <w:t>Няма да бъде сключван договор за финансиране  с одобрен кандидат, по отношение на когото е налице неприключила проверка по сигнал за нередност. Договор за финансиране ще бъде сключен, в случай че проверката по сигнала приключи с извод за липса на нередност.</w:t>
      </w:r>
    </w:p>
    <w:p w:rsidR="00654A90" w:rsidRDefault="00654A90" w:rsidP="007C388C">
      <w:pPr>
        <w:spacing w:before="120" w:after="120" w:line="360" w:lineRule="auto"/>
        <w:jc w:val="both"/>
      </w:pPr>
      <w:r>
        <w:t>Няма да бъде сключван договор за финансиране с одобрен кандидат, за когото са налице задължения във връзка с недължимо платени, надплатени, неправомерно получени или неправомерно усвоени средства, включително лихвите върху тях.</w:t>
      </w:r>
    </w:p>
    <w:p w:rsidR="00654A90" w:rsidRDefault="00654A90" w:rsidP="007C388C">
      <w:pPr>
        <w:spacing w:before="120" w:after="120" w:line="360" w:lineRule="auto"/>
        <w:jc w:val="both"/>
      </w:pPr>
      <w:r>
        <w:t>При наличие на някое от посочените обстоятелства, покана по чл. 19, ал. 2 от ПМС 114/2022 г. до съответния кандидат не се изпраща.</w:t>
      </w:r>
    </w:p>
    <w:p w:rsidR="00654A90" w:rsidRDefault="00654A90" w:rsidP="007C388C">
      <w:pPr>
        <w:spacing w:before="120" w:after="120" w:line="360" w:lineRule="auto"/>
        <w:jc w:val="both"/>
      </w:pPr>
      <w:r>
        <w:t>Ръководителят на СНД издава мотивирано решение, с което отказва предоставянето на безвъзмездно финансиране, в 10-дневен срок от одобрение на доклада на оценителната комисия, съответно от изтичането на срока по чл. 19, ал. 2 от ПМС № 114/2022 г.:</w:t>
      </w:r>
    </w:p>
    <w:p w:rsidR="00654A90" w:rsidRDefault="00654A90" w:rsidP="007C388C">
      <w:pPr>
        <w:spacing w:before="120" w:after="120" w:line="360" w:lineRule="auto"/>
        <w:jc w:val="both"/>
      </w:pPr>
      <w:r>
        <w:lastRenderedPageBreak/>
        <w:t>- за всяко предложение за изпълнение на инвестиция, включено в списъка на предложените за отхвърляне предложения за изпълнение на инвестиция и основанието за отхвърлянето им, включен в доклада за работата на оценителната комисия;</w:t>
      </w:r>
    </w:p>
    <w:p w:rsidR="00654A90" w:rsidRDefault="00654A90" w:rsidP="007C388C">
      <w:pPr>
        <w:spacing w:before="120" w:after="120" w:line="360" w:lineRule="auto"/>
        <w:jc w:val="both"/>
      </w:pPr>
      <w:r>
        <w:t>- при несъгласие на кандидата да сключи договор за финансиране;</w:t>
      </w:r>
    </w:p>
    <w:p w:rsidR="00654A90" w:rsidRDefault="00654A90" w:rsidP="007C388C">
      <w:pPr>
        <w:spacing w:before="120" w:after="120" w:line="360" w:lineRule="auto"/>
        <w:jc w:val="both"/>
      </w:pPr>
      <w:r>
        <w:t>- на кандидат, който не отговаря на изискванията за краен получател на средства от МВУ или не е представил в срок доказателства за това;</w:t>
      </w:r>
    </w:p>
    <w:p w:rsidR="00654A90" w:rsidRDefault="00654A90" w:rsidP="007C388C">
      <w:pPr>
        <w:spacing w:before="120" w:after="120" w:line="360" w:lineRule="auto"/>
        <w:jc w:val="both"/>
      </w:pPr>
      <w:r>
        <w:t xml:space="preserve">- за предложения, при които се установи, че не е спазена </w:t>
      </w:r>
      <w:bookmarkStart w:id="80" w:name="_Hlk169707666"/>
      <w:r>
        <w:t>забраната за кумулативно предоставяне и за двойно финансиране по чл. 191 от Регламент (ЕС) 2018/1046</w:t>
      </w:r>
      <w:bookmarkEnd w:id="80"/>
      <w:r>
        <w:t>;</w:t>
      </w:r>
    </w:p>
    <w:p w:rsidR="00654A90" w:rsidRDefault="00654A90" w:rsidP="007C388C">
      <w:pPr>
        <w:spacing w:before="120" w:after="120" w:line="360" w:lineRule="auto"/>
        <w:jc w:val="both"/>
      </w:pPr>
      <w:r>
        <w:t>Индивидуалните административни актове на Ръководителя на СНД за отказ за предоставяне на средства се издават като електронни документи по реда на Закона за електронното управление и се съобщават на кандидатите чрез системата ИСМ-ИСУН 2020, раздел НПВУ в изпълнение на чл. 30, ал. 1 и ал. 2 от ПМС № 114/2022г. Към съобщението в ИСМ-ИСУН 2020, раздел НПВУ до съответния кандидат се прикачва и издадения акт. На интернет страницата на СНД и в Информационната система за Механизма се публикува информация относно издадените решения за отказ за предоставяне на средства, съдържаща данни за номера и датата на издаденото решение, регистрационен номер и наименование на предложението, краен получател и размер на отказаните средства.</w:t>
      </w:r>
    </w:p>
    <w:p w:rsidR="00654A90" w:rsidRDefault="00654A90" w:rsidP="007C388C">
      <w:pPr>
        <w:spacing w:before="120" w:after="120" w:line="360" w:lineRule="auto"/>
        <w:jc w:val="both"/>
      </w:pPr>
      <w:r>
        <w:t>Всеки кандидат може да подаде до Ръководителя на СНД сигнал за предоставяне на невярна и/или подвеждаща информация от кандидати в процедури за предоставяне на средства и/или от краен получател на безвъзмездно финансиране, които при изпълнение на договор, сключен по предложение за изпълнение на инвестиция, финансиран от МВУ, предоставят невярна и /или подвеждаща информация за вписване в регистъра и проверка.</w:t>
      </w:r>
    </w:p>
    <w:p w:rsidR="00654A90" w:rsidRDefault="00654A90" w:rsidP="007C388C">
      <w:pPr>
        <w:spacing w:before="120" w:after="120" w:line="360" w:lineRule="auto"/>
        <w:jc w:val="both"/>
      </w:pPr>
      <w:r>
        <w:t>След сключване на договора за финансиране, с оглед спазване на изискванията за прозрачност на държавните помощи във връзка със Съобщението относно прозрачността, ще се публикува информация за предоставените държавни помощи.</w:t>
      </w:r>
    </w:p>
    <w:p w:rsidR="00654A90" w:rsidRDefault="00654A90" w:rsidP="007C388C">
      <w:pPr>
        <w:spacing w:before="120" w:after="120" w:line="360" w:lineRule="auto"/>
        <w:jc w:val="both"/>
        <w:rPr>
          <w:b/>
        </w:rPr>
      </w:pPr>
      <w:r>
        <w:rPr>
          <w:b/>
        </w:rPr>
        <w:t xml:space="preserve">Кандидатите трябва да съхраняват и да предоставят при поискване или извършване на проверки, както от страна на СНД, така и от страна на организациите по </w:t>
      </w:r>
      <w:r>
        <w:rPr>
          <w:b/>
        </w:rPr>
        <w:lastRenderedPageBreak/>
        <w:t>чл. 14.4 от Общите условия на Договор за финансиране в сроковете по чл. 14.7 от Общите условия по Договор за финансиране оригиналите на следните документи, подписани на хартиен носител и подадени електронно на етап кандидатстване:</w:t>
      </w:r>
    </w:p>
    <w:p w:rsidR="00654A90" w:rsidRDefault="00654A90" w:rsidP="007C388C">
      <w:pPr>
        <w:pStyle w:val="ListParagraph"/>
        <w:numPr>
          <w:ilvl w:val="0"/>
          <w:numId w:val="25"/>
        </w:numPr>
        <w:spacing w:line="360" w:lineRule="auto"/>
        <w:ind w:left="426" w:hanging="426"/>
        <w:rPr>
          <w:rFonts w:ascii="Times New Roman" w:hAnsi="Times New Roman"/>
          <w:sz w:val="24"/>
          <w:szCs w:val="24"/>
        </w:rPr>
      </w:pPr>
      <w:r>
        <w:rPr>
          <w:rFonts w:ascii="Times New Roman" w:hAnsi="Times New Roman"/>
          <w:sz w:val="24"/>
          <w:szCs w:val="24"/>
        </w:rPr>
        <w:t>Декларация при кандидатстване и за приемане на Условията по процедурата – попълнена по образец (Приложение 5)</w:t>
      </w:r>
    </w:p>
    <w:p w:rsidR="00654A90" w:rsidRDefault="00654A90" w:rsidP="007C388C">
      <w:pPr>
        <w:pStyle w:val="ListParagraph"/>
        <w:numPr>
          <w:ilvl w:val="0"/>
          <w:numId w:val="25"/>
        </w:numPr>
        <w:spacing w:line="360" w:lineRule="auto"/>
        <w:ind w:left="426" w:hanging="426"/>
        <w:rPr>
          <w:rFonts w:ascii="Times New Roman" w:hAnsi="Times New Roman"/>
          <w:sz w:val="24"/>
          <w:szCs w:val="24"/>
        </w:rPr>
      </w:pPr>
      <w:r>
        <w:rPr>
          <w:rFonts w:ascii="Times New Roman" w:hAnsi="Times New Roman"/>
          <w:sz w:val="24"/>
          <w:szCs w:val="24"/>
        </w:rPr>
        <w:t>Декларация за държавни/минимални помощи – попълнена по образец (Приложение 2).</w:t>
      </w:r>
    </w:p>
    <w:p w:rsidR="00654A90" w:rsidRDefault="00654A90" w:rsidP="007C388C">
      <w:pPr>
        <w:pStyle w:val="ListParagraph"/>
        <w:numPr>
          <w:ilvl w:val="0"/>
          <w:numId w:val="25"/>
        </w:numPr>
        <w:spacing w:line="360" w:lineRule="auto"/>
        <w:ind w:left="426" w:hanging="426"/>
        <w:rPr>
          <w:rFonts w:ascii="Times New Roman" w:hAnsi="Times New Roman"/>
          <w:sz w:val="24"/>
          <w:szCs w:val="24"/>
        </w:rPr>
      </w:pPr>
      <w:r>
        <w:rPr>
          <w:rFonts w:ascii="Times New Roman" w:hAnsi="Times New Roman"/>
          <w:sz w:val="24"/>
          <w:szCs w:val="24"/>
        </w:rPr>
        <w:t>Декларация за липса на промяна във вече декларирани обстоятелства и представени документи (Приложение 10) или декларация за настъпили промени във вече декларирани обстоятелства. За формата и начина на подписване на декларациите се прилагат изискваният по т. 20</w:t>
      </w:r>
    </w:p>
    <w:p w:rsidR="00654A90" w:rsidRDefault="00654A90" w:rsidP="007C388C">
      <w:pPr>
        <w:pStyle w:val="ListParagraph"/>
        <w:numPr>
          <w:ilvl w:val="0"/>
          <w:numId w:val="25"/>
        </w:numPr>
        <w:spacing w:line="360" w:lineRule="auto"/>
        <w:ind w:left="426" w:hanging="426"/>
        <w:rPr>
          <w:rFonts w:ascii="Times New Roman" w:hAnsi="Times New Roman"/>
          <w:sz w:val="24"/>
          <w:szCs w:val="24"/>
        </w:rPr>
      </w:pPr>
      <w:r>
        <w:rPr>
          <w:rFonts w:ascii="Times New Roman" w:hAnsi="Times New Roman"/>
          <w:sz w:val="24"/>
          <w:szCs w:val="24"/>
        </w:rPr>
        <w:t>Изрично пълномощно за подаване на предложението за изпълнение на инвестиция (Приложение 1), ако е приложимо.</w:t>
      </w:r>
    </w:p>
    <w:p w:rsidR="00654A90" w:rsidRDefault="00654A90" w:rsidP="007C388C">
      <w:pPr>
        <w:spacing w:before="120" w:after="120" w:line="360" w:lineRule="auto"/>
        <w:jc w:val="both"/>
      </w:pPr>
      <w:r>
        <w:t>Актуалните декларации, представени на етап кандидатстване и на етап договаряне стават приложение към електронния Договор за финансиране с крайния получател.</w:t>
      </w:r>
    </w:p>
    <w:p w:rsidR="00654A90" w:rsidRDefault="00654A90" w:rsidP="007C388C">
      <w:pPr>
        <w:suppressAutoHyphens/>
        <w:spacing w:before="120" w:after="120" w:line="360" w:lineRule="auto"/>
        <w:jc w:val="both"/>
      </w:pPr>
    </w:p>
    <w:p w:rsidR="00654A90" w:rsidRDefault="00654A90" w:rsidP="007C388C">
      <w:pPr>
        <w:pStyle w:val="Heading2"/>
        <w:suppressAutoHyphens/>
        <w:spacing w:after="120" w:line="360" w:lineRule="auto"/>
        <w:rPr>
          <w:rFonts w:ascii="Times New Roman" w:hAnsi="Times New Roman"/>
          <w:color w:val="000000" w:themeColor="text1"/>
          <w:sz w:val="24"/>
          <w:szCs w:val="24"/>
        </w:rPr>
      </w:pPr>
      <w:bookmarkStart w:id="81" w:name="_Toc106285954"/>
      <w:bookmarkStart w:id="82" w:name="_Toc183440916"/>
      <w:r>
        <w:rPr>
          <w:rFonts w:ascii="Times New Roman" w:hAnsi="Times New Roman"/>
          <w:color w:val="000000" w:themeColor="text1"/>
          <w:sz w:val="24"/>
          <w:szCs w:val="24"/>
        </w:rPr>
        <w:t>24. Приложения към Условията за кандидатстване:</w:t>
      </w:r>
      <w:bookmarkEnd w:id="81"/>
      <w:bookmarkEnd w:id="82"/>
    </w:p>
    <w:p w:rsidR="00654A90" w:rsidRPr="004F3EE7" w:rsidRDefault="00654A90" w:rsidP="007C388C">
      <w:pPr>
        <w:pStyle w:val="Stext"/>
        <w:spacing w:line="360" w:lineRule="auto"/>
        <w:rPr>
          <w:rFonts w:ascii="Times New Roman" w:hAnsi="Times New Roman"/>
          <w:sz w:val="24"/>
          <w:szCs w:val="24"/>
          <w:lang w:val="bg-BG"/>
        </w:rPr>
      </w:pPr>
      <w:r w:rsidRPr="004F3EE7">
        <w:rPr>
          <w:rFonts w:ascii="Times New Roman" w:hAnsi="Times New Roman" w:cs="Times New Roman"/>
          <w:color w:val="000000" w:themeColor="text1"/>
          <w:sz w:val="24"/>
          <w:szCs w:val="24"/>
          <w:lang w:val="bg-BG"/>
        </w:rPr>
        <w:t xml:space="preserve">Приложение 1 - </w:t>
      </w:r>
      <w:r w:rsidRPr="004F3EE7">
        <w:rPr>
          <w:rFonts w:ascii="Times New Roman" w:hAnsi="Times New Roman"/>
          <w:sz w:val="24"/>
          <w:szCs w:val="24"/>
          <w:lang w:val="bg-BG"/>
        </w:rPr>
        <w:t>Изрично пълномощно за подаване на предложението за изпълнение на инвестиция</w:t>
      </w:r>
    </w:p>
    <w:p w:rsidR="00654A90" w:rsidRDefault="00654A90" w:rsidP="007C388C">
      <w:pPr>
        <w:pStyle w:val="Stext"/>
        <w:spacing w:line="360" w:lineRule="auto"/>
        <w:rPr>
          <w:rFonts w:ascii="Times New Roman" w:hAnsi="Times New Roman"/>
          <w:sz w:val="24"/>
          <w:szCs w:val="24"/>
          <w:highlight w:val="yellow"/>
          <w:lang w:val="bg-BG"/>
        </w:rPr>
      </w:pPr>
      <w:r w:rsidRPr="004F3EE7">
        <w:rPr>
          <w:rFonts w:ascii="Times New Roman" w:hAnsi="Times New Roman"/>
          <w:sz w:val="24"/>
          <w:szCs w:val="24"/>
          <w:lang w:val="bg-BG"/>
        </w:rPr>
        <w:t>Приложение 2 - Декларация за държавни/минимални помощи</w:t>
      </w:r>
    </w:p>
    <w:p w:rsidR="00654A90" w:rsidRPr="001A78B3" w:rsidRDefault="00654A90" w:rsidP="007C388C">
      <w:pPr>
        <w:pStyle w:val="Stext"/>
        <w:spacing w:line="360" w:lineRule="auto"/>
        <w:rPr>
          <w:rFonts w:ascii="Times New Roman" w:hAnsi="Times New Roman"/>
          <w:sz w:val="24"/>
          <w:szCs w:val="24"/>
          <w:lang w:val="bg-BG"/>
        </w:rPr>
      </w:pPr>
      <w:r w:rsidRPr="001A78B3">
        <w:rPr>
          <w:rFonts w:ascii="Times New Roman" w:hAnsi="Times New Roman"/>
          <w:sz w:val="24"/>
          <w:szCs w:val="24"/>
          <w:lang w:val="bg-BG"/>
        </w:rPr>
        <w:t>Приложение 3 - Банкова гаранция за участие</w:t>
      </w:r>
    </w:p>
    <w:p w:rsidR="00654A90" w:rsidRPr="001A78B3" w:rsidRDefault="00654A90" w:rsidP="007C388C">
      <w:pPr>
        <w:pStyle w:val="Stext"/>
        <w:spacing w:line="360" w:lineRule="auto"/>
        <w:rPr>
          <w:rFonts w:ascii="Times New Roman" w:hAnsi="Times New Roman"/>
          <w:sz w:val="24"/>
          <w:szCs w:val="24"/>
          <w:lang w:val="bg-BG"/>
        </w:rPr>
      </w:pPr>
      <w:r w:rsidRPr="001A78B3">
        <w:rPr>
          <w:rFonts w:ascii="Times New Roman" w:hAnsi="Times New Roman"/>
          <w:sz w:val="24"/>
          <w:szCs w:val="24"/>
          <w:lang w:val="bg-BG"/>
        </w:rPr>
        <w:t>Приложение 4 - Банкова гаранция за добро изпълнение</w:t>
      </w:r>
    </w:p>
    <w:p w:rsidR="00654A90" w:rsidRPr="001A78B3" w:rsidRDefault="00654A90" w:rsidP="007C388C">
      <w:pPr>
        <w:pStyle w:val="Stext"/>
        <w:spacing w:line="360" w:lineRule="auto"/>
        <w:rPr>
          <w:rFonts w:ascii="Times New Roman" w:hAnsi="Times New Roman"/>
          <w:sz w:val="24"/>
          <w:szCs w:val="24"/>
          <w:lang w:val="bg-BG"/>
        </w:rPr>
      </w:pPr>
      <w:r w:rsidRPr="001A78B3">
        <w:rPr>
          <w:rFonts w:ascii="Times New Roman" w:hAnsi="Times New Roman"/>
          <w:sz w:val="24"/>
          <w:szCs w:val="24"/>
          <w:lang w:val="bg-BG"/>
        </w:rPr>
        <w:t>Приложение 5 – Декларация при кандидатстване и за приемане на условията на процедурата</w:t>
      </w:r>
    </w:p>
    <w:p w:rsidR="00654A90" w:rsidRPr="00734026" w:rsidRDefault="00654A90" w:rsidP="007C388C">
      <w:pPr>
        <w:pStyle w:val="Stext"/>
        <w:spacing w:line="360" w:lineRule="auto"/>
        <w:rPr>
          <w:rFonts w:ascii="Times New Roman" w:hAnsi="Times New Roman"/>
          <w:sz w:val="24"/>
          <w:szCs w:val="24"/>
          <w:lang w:val="bg-BG"/>
        </w:rPr>
      </w:pPr>
      <w:r w:rsidRPr="00734026">
        <w:rPr>
          <w:rFonts w:ascii="Times New Roman" w:hAnsi="Times New Roman"/>
          <w:sz w:val="24"/>
          <w:szCs w:val="24"/>
          <w:lang w:val="bg-BG"/>
        </w:rPr>
        <w:lastRenderedPageBreak/>
        <w:t xml:space="preserve">Приложение 6 – Информация за спазване на принципа за </w:t>
      </w:r>
      <w:r w:rsidR="00734026" w:rsidRPr="00734026">
        <w:rPr>
          <w:rFonts w:ascii="Times New Roman" w:hAnsi="Times New Roman"/>
          <w:sz w:val="24"/>
          <w:szCs w:val="24"/>
          <w:lang w:val="bg-BG"/>
        </w:rPr>
        <w:t>„</w:t>
      </w:r>
      <w:r w:rsidRPr="00734026">
        <w:rPr>
          <w:rFonts w:ascii="Times New Roman" w:hAnsi="Times New Roman"/>
          <w:sz w:val="24"/>
          <w:szCs w:val="24"/>
          <w:lang w:val="bg-BG"/>
        </w:rPr>
        <w:t>ненанасяне на значителни вре-ди</w:t>
      </w:r>
      <w:r w:rsidR="00734026" w:rsidRPr="00734026">
        <w:rPr>
          <w:rFonts w:ascii="Times New Roman" w:hAnsi="Times New Roman"/>
          <w:sz w:val="24"/>
          <w:szCs w:val="24"/>
          <w:lang w:val="bg-BG"/>
        </w:rPr>
        <w:t>“</w:t>
      </w:r>
    </w:p>
    <w:p w:rsidR="00654A90" w:rsidRPr="00357AFB" w:rsidRDefault="00654A90" w:rsidP="007C388C">
      <w:pPr>
        <w:pStyle w:val="Stext"/>
        <w:spacing w:line="360" w:lineRule="auto"/>
        <w:rPr>
          <w:rFonts w:ascii="Times New Roman" w:hAnsi="Times New Roman"/>
          <w:sz w:val="24"/>
          <w:szCs w:val="24"/>
          <w:lang w:val="bg-BG"/>
        </w:rPr>
      </w:pPr>
      <w:r w:rsidRPr="00357AFB">
        <w:rPr>
          <w:rFonts w:ascii="Times New Roman" w:hAnsi="Times New Roman"/>
          <w:sz w:val="24"/>
          <w:szCs w:val="24"/>
          <w:lang w:val="bg-BG"/>
        </w:rPr>
        <w:t xml:space="preserve">Приложение 7 – Формуляр за самооценка за спазване на принципа за </w:t>
      </w:r>
      <w:r w:rsidR="00357AFB" w:rsidRPr="00357AFB">
        <w:rPr>
          <w:rFonts w:ascii="Times New Roman" w:hAnsi="Times New Roman"/>
          <w:sz w:val="24"/>
          <w:szCs w:val="24"/>
          <w:lang w:val="bg-BG"/>
        </w:rPr>
        <w:t>„</w:t>
      </w:r>
      <w:r w:rsidRPr="00357AFB">
        <w:rPr>
          <w:rFonts w:ascii="Times New Roman" w:hAnsi="Times New Roman"/>
          <w:sz w:val="24"/>
          <w:szCs w:val="24"/>
          <w:lang w:val="bg-BG"/>
        </w:rPr>
        <w:t>ненанасяне на значителни вреди</w:t>
      </w:r>
      <w:r w:rsidR="00357AFB" w:rsidRPr="00357AFB">
        <w:rPr>
          <w:rFonts w:ascii="Times New Roman" w:hAnsi="Times New Roman"/>
          <w:sz w:val="24"/>
          <w:szCs w:val="24"/>
          <w:lang w:val="bg-BG"/>
        </w:rPr>
        <w:t>“</w:t>
      </w:r>
    </w:p>
    <w:p w:rsidR="00654A90" w:rsidRPr="00357AFB" w:rsidRDefault="00654A90" w:rsidP="007C388C">
      <w:pPr>
        <w:pStyle w:val="Stext"/>
        <w:spacing w:line="360" w:lineRule="auto"/>
        <w:rPr>
          <w:rFonts w:ascii="Times New Roman" w:hAnsi="Times New Roman"/>
          <w:sz w:val="24"/>
          <w:szCs w:val="24"/>
          <w:lang w:val="bg-BG"/>
        </w:rPr>
      </w:pPr>
      <w:r w:rsidRPr="00357AFB">
        <w:rPr>
          <w:rFonts w:ascii="Times New Roman" w:hAnsi="Times New Roman"/>
          <w:sz w:val="24"/>
          <w:szCs w:val="24"/>
          <w:lang w:val="bg-BG"/>
        </w:rPr>
        <w:t>Приложение 8 – Минимални технически изисквания</w:t>
      </w:r>
    </w:p>
    <w:p w:rsidR="00654A90" w:rsidRPr="00973BAE" w:rsidRDefault="00654A90" w:rsidP="007C388C">
      <w:pPr>
        <w:pStyle w:val="Stext"/>
        <w:spacing w:line="360" w:lineRule="auto"/>
        <w:rPr>
          <w:rFonts w:ascii="Times New Roman" w:hAnsi="Times New Roman"/>
          <w:sz w:val="24"/>
          <w:szCs w:val="24"/>
          <w:lang w:val="bg-BG"/>
        </w:rPr>
      </w:pPr>
      <w:r w:rsidRPr="00973BAE">
        <w:rPr>
          <w:rFonts w:ascii="Times New Roman" w:hAnsi="Times New Roman"/>
          <w:sz w:val="24"/>
          <w:szCs w:val="24"/>
          <w:lang w:val="bg-BG"/>
        </w:rPr>
        <w:t>Приложение 9 – Критерии и методология за оценка на предложенията за осъществяване на инвестиции</w:t>
      </w:r>
    </w:p>
    <w:p w:rsidR="00654A90" w:rsidRPr="00357AFB" w:rsidRDefault="00654A90" w:rsidP="007C388C">
      <w:pPr>
        <w:pStyle w:val="Stext"/>
        <w:spacing w:line="360" w:lineRule="auto"/>
        <w:rPr>
          <w:rFonts w:ascii="Times New Roman" w:hAnsi="Times New Roman"/>
          <w:sz w:val="24"/>
          <w:szCs w:val="24"/>
          <w:lang w:val="bg-BG"/>
        </w:rPr>
      </w:pPr>
      <w:r w:rsidRPr="00357AFB">
        <w:rPr>
          <w:rFonts w:ascii="Times New Roman" w:hAnsi="Times New Roman"/>
          <w:sz w:val="24"/>
          <w:szCs w:val="24"/>
          <w:lang w:val="bg-BG"/>
        </w:rPr>
        <w:t xml:space="preserve">Приложение 10 – Декларация за липса на промяна във вече декларирани обстоятелства </w:t>
      </w:r>
    </w:p>
    <w:p w:rsidR="00654A90" w:rsidRDefault="00654A90" w:rsidP="007C388C">
      <w:pPr>
        <w:pStyle w:val="Stext"/>
        <w:spacing w:line="360" w:lineRule="auto"/>
        <w:rPr>
          <w:rFonts w:ascii="Times New Roman" w:hAnsi="Times New Roman"/>
          <w:sz w:val="24"/>
          <w:szCs w:val="24"/>
          <w:lang w:val="bg-BG"/>
        </w:rPr>
      </w:pPr>
      <w:r w:rsidRPr="00357AFB">
        <w:rPr>
          <w:rFonts w:ascii="Times New Roman" w:hAnsi="Times New Roman"/>
          <w:sz w:val="24"/>
          <w:szCs w:val="24"/>
          <w:lang w:val="bg-BG"/>
        </w:rPr>
        <w:t>Приложение 11 – Условия за изпълнение</w:t>
      </w:r>
    </w:p>
    <w:p w:rsidR="00F63D37" w:rsidRDefault="00F63D37" w:rsidP="007C388C">
      <w:pPr>
        <w:pStyle w:val="Stext"/>
        <w:spacing w:line="360" w:lineRule="auto"/>
        <w:rPr>
          <w:rFonts w:ascii="Times New Roman" w:hAnsi="Times New Roman"/>
          <w:sz w:val="24"/>
          <w:szCs w:val="24"/>
          <w:lang w:val="bg-BG"/>
        </w:rPr>
      </w:pPr>
      <w:r w:rsidRPr="00510A87">
        <w:rPr>
          <w:rFonts w:ascii="Times New Roman" w:hAnsi="Times New Roman"/>
          <w:sz w:val="24"/>
          <w:szCs w:val="24"/>
          <w:lang w:val="bg-BG"/>
        </w:rPr>
        <w:t>Приложение 12 - Целеви райони за интервенция</w:t>
      </w:r>
    </w:p>
    <w:p w:rsidR="000117CB" w:rsidRDefault="000117CB" w:rsidP="007C388C">
      <w:pPr>
        <w:pStyle w:val="Stext"/>
        <w:spacing w:line="360" w:lineRule="auto"/>
        <w:rPr>
          <w:rFonts w:ascii="Times New Roman" w:hAnsi="Times New Roman"/>
          <w:sz w:val="24"/>
          <w:szCs w:val="24"/>
          <w:lang w:val="bg-BG"/>
        </w:rPr>
      </w:pPr>
      <w:r>
        <w:rPr>
          <w:rFonts w:ascii="Times New Roman" w:hAnsi="Times New Roman"/>
          <w:sz w:val="24"/>
          <w:szCs w:val="24"/>
          <w:lang w:val="bg-BG"/>
        </w:rPr>
        <w:t>Приложение 13 – Декларация по ЗЕСМФИ</w:t>
      </w:r>
    </w:p>
    <w:p w:rsidR="000117CB" w:rsidRDefault="000117CB" w:rsidP="007C388C">
      <w:pPr>
        <w:pStyle w:val="Stext"/>
        <w:spacing w:line="360" w:lineRule="auto"/>
        <w:rPr>
          <w:rFonts w:ascii="Times New Roman" w:hAnsi="Times New Roman"/>
          <w:sz w:val="24"/>
          <w:szCs w:val="24"/>
          <w:lang w:val="bg-BG"/>
        </w:rPr>
      </w:pPr>
      <w:r>
        <w:rPr>
          <w:rFonts w:ascii="Times New Roman" w:hAnsi="Times New Roman"/>
          <w:sz w:val="24"/>
          <w:szCs w:val="24"/>
          <w:lang w:val="bg-BG"/>
        </w:rPr>
        <w:t xml:space="preserve">Приложение 14 – Съответствие </w:t>
      </w:r>
      <w:r w:rsidR="007A1C62" w:rsidRPr="007A1C62">
        <w:rPr>
          <w:rFonts w:ascii="Times New Roman" w:hAnsi="Times New Roman"/>
          <w:sz w:val="24"/>
          <w:szCs w:val="24"/>
          <w:lang w:val="bg-BG"/>
        </w:rPr>
        <w:t>на мярката с 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правилата -  Общ регламент за групово освобождаване (ОРГО)</w:t>
      </w:r>
    </w:p>
    <w:p w:rsidR="00654A90" w:rsidRPr="00841EC6" w:rsidRDefault="00841EC6" w:rsidP="00841EC6">
      <w:pPr>
        <w:pStyle w:val="Stext"/>
        <w:spacing w:line="360" w:lineRule="auto"/>
        <w:rPr>
          <w:rFonts w:ascii="Times New Roman" w:hAnsi="Times New Roman" w:cs="Times New Roman"/>
          <w:color w:val="000000" w:themeColor="text1"/>
          <w:sz w:val="24"/>
          <w:szCs w:val="24"/>
          <w:lang w:val="en-US"/>
        </w:rPr>
      </w:pPr>
      <w:r>
        <w:rPr>
          <w:rFonts w:ascii="Times New Roman" w:hAnsi="Times New Roman"/>
          <w:sz w:val="24"/>
          <w:szCs w:val="24"/>
          <w:lang w:val="bg-BG"/>
        </w:rPr>
        <w:t xml:space="preserve">Приложение 15 - </w:t>
      </w:r>
      <w:r w:rsidRPr="00841EC6">
        <w:rPr>
          <w:rFonts w:ascii="Times New Roman" w:hAnsi="Times New Roman"/>
          <w:sz w:val="24"/>
          <w:szCs w:val="24"/>
          <w:lang w:val="en-US"/>
        </w:rPr>
        <w:t>Документация за неотменимото право на ползване (IRU)</w:t>
      </w:r>
    </w:p>
    <w:p w:rsidR="00654A90" w:rsidRDefault="00654A90" w:rsidP="007C388C">
      <w:pPr>
        <w:pStyle w:val="Heading2"/>
        <w:suppressAutoHyphens/>
        <w:spacing w:after="120" w:line="360" w:lineRule="auto"/>
        <w:rPr>
          <w:rFonts w:ascii="Times New Roman" w:hAnsi="Times New Roman"/>
          <w:color w:val="000000" w:themeColor="text1"/>
          <w:sz w:val="24"/>
          <w:szCs w:val="24"/>
        </w:rPr>
      </w:pPr>
      <w:bookmarkStart w:id="83" w:name="_Toc150529581"/>
      <w:bookmarkStart w:id="84" w:name="_Toc183440917"/>
      <w:r>
        <w:rPr>
          <w:rFonts w:ascii="Times New Roman" w:hAnsi="Times New Roman"/>
          <w:color w:val="000000" w:themeColor="text1"/>
          <w:sz w:val="24"/>
          <w:szCs w:val="24"/>
        </w:rPr>
        <w:t>25. Списък на използваните съкращения:</w:t>
      </w:r>
      <w:bookmarkEnd w:id="83"/>
      <w:bookmarkEnd w:id="84"/>
    </w:p>
    <w:p w:rsidR="00282CC8" w:rsidRDefault="00282CC8" w:rsidP="007C388C">
      <w:pPr>
        <w:spacing w:before="120" w:after="120" w:line="360" w:lineRule="auto"/>
        <w:jc w:val="both"/>
        <w:rPr>
          <w:rFonts w:eastAsiaTheme="minorHAnsi"/>
          <w:b/>
          <w:bCs/>
          <w:color w:val="000000" w:themeColor="text1"/>
          <w:lang w:eastAsia="en-US"/>
        </w:rPr>
      </w:pPr>
    </w:p>
    <w:p w:rsidR="00282CC8" w:rsidRDefault="00282CC8" w:rsidP="007C388C">
      <w:pPr>
        <w:spacing w:before="120" w:after="120" w:line="360" w:lineRule="auto"/>
        <w:jc w:val="both"/>
        <w:rPr>
          <w:rFonts w:eastAsiaTheme="minorHAnsi"/>
          <w:b/>
          <w:bCs/>
          <w:color w:val="000000" w:themeColor="text1"/>
          <w:lang w:eastAsia="en-US"/>
        </w:rPr>
      </w:pPr>
      <w:r>
        <w:rPr>
          <w:rFonts w:eastAsiaTheme="minorHAnsi"/>
          <w:b/>
          <w:bCs/>
          <w:color w:val="000000" w:themeColor="text1"/>
          <w:lang w:eastAsia="en-US"/>
        </w:rPr>
        <w:t xml:space="preserve">БФП – </w:t>
      </w:r>
      <w:r w:rsidRPr="003760EA">
        <w:rPr>
          <w:rFonts w:eastAsiaTheme="minorHAnsi"/>
          <w:bCs/>
          <w:color w:val="000000" w:themeColor="text1"/>
          <w:lang w:eastAsia="en-US"/>
        </w:rPr>
        <w:t>безвъзмездна финансова помощ</w:t>
      </w:r>
    </w:p>
    <w:p w:rsidR="00654A90" w:rsidRDefault="00654A90" w:rsidP="007C388C">
      <w:pPr>
        <w:spacing w:before="120" w:after="120" w:line="360" w:lineRule="auto"/>
        <w:jc w:val="both"/>
        <w:rPr>
          <w:rFonts w:eastAsiaTheme="minorHAnsi"/>
          <w:b/>
          <w:bCs/>
          <w:color w:val="000000" w:themeColor="text1"/>
          <w:lang w:eastAsia="en-US"/>
        </w:rPr>
      </w:pPr>
      <w:r>
        <w:rPr>
          <w:rFonts w:eastAsiaTheme="minorHAnsi"/>
          <w:b/>
          <w:bCs/>
          <w:color w:val="000000" w:themeColor="text1"/>
          <w:lang w:eastAsia="en-US"/>
        </w:rPr>
        <w:t xml:space="preserve">ДДС </w:t>
      </w:r>
      <w:r>
        <w:rPr>
          <w:rFonts w:eastAsiaTheme="minorHAnsi"/>
          <w:bCs/>
          <w:color w:val="000000" w:themeColor="text1"/>
          <w:lang w:eastAsia="en-US"/>
        </w:rPr>
        <w:t>– данък добавена стойност</w:t>
      </w:r>
    </w:p>
    <w:p w:rsidR="00654A90" w:rsidRDefault="00654A90" w:rsidP="007C388C">
      <w:pPr>
        <w:spacing w:before="120" w:after="120" w:line="360" w:lineRule="auto"/>
        <w:jc w:val="both"/>
        <w:rPr>
          <w:rFonts w:eastAsiaTheme="minorHAnsi"/>
          <w:color w:val="000000" w:themeColor="text1"/>
          <w:lang w:eastAsia="en-US"/>
        </w:rPr>
      </w:pPr>
      <w:r>
        <w:rPr>
          <w:rFonts w:eastAsiaTheme="minorHAnsi"/>
          <w:b/>
          <w:bCs/>
          <w:color w:val="000000" w:themeColor="text1"/>
          <w:lang w:eastAsia="en-US"/>
        </w:rPr>
        <w:t>ДМА</w:t>
      </w:r>
      <w:r>
        <w:rPr>
          <w:rFonts w:eastAsiaTheme="minorHAnsi"/>
          <w:color w:val="000000" w:themeColor="text1"/>
          <w:lang w:eastAsia="en-US"/>
        </w:rPr>
        <w:t xml:space="preserve"> </w:t>
      </w:r>
      <w:r>
        <w:rPr>
          <w:rFonts w:eastAsiaTheme="minorHAnsi"/>
          <w:lang w:eastAsia="en-US"/>
        </w:rPr>
        <w:t>–</w:t>
      </w:r>
      <w:r>
        <w:rPr>
          <w:rFonts w:eastAsiaTheme="minorHAnsi"/>
          <w:color w:val="000000" w:themeColor="text1"/>
          <w:lang w:eastAsia="en-US"/>
        </w:rPr>
        <w:t xml:space="preserve"> дълготрайни материални активи</w:t>
      </w:r>
    </w:p>
    <w:p w:rsidR="00654A90" w:rsidRDefault="00654A90" w:rsidP="007C388C">
      <w:pPr>
        <w:spacing w:before="120" w:after="120" w:line="360" w:lineRule="auto"/>
        <w:jc w:val="both"/>
        <w:rPr>
          <w:rFonts w:eastAsiaTheme="minorHAnsi"/>
          <w:color w:val="000000" w:themeColor="text1"/>
          <w:lang w:eastAsia="en-US"/>
        </w:rPr>
      </w:pPr>
      <w:r>
        <w:rPr>
          <w:rFonts w:eastAsiaTheme="minorHAnsi"/>
          <w:b/>
          <w:bCs/>
          <w:color w:val="000000" w:themeColor="text1"/>
          <w:lang w:eastAsia="en-US"/>
        </w:rPr>
        <w:t xml:space="preserve">ДНА </w:t>
      </w:r>
      <w:r>
        <w:rPr>
          <w:rFonts w:eastAsiaTheme="minorHAnsi"/>
          <w:lang w:eastAsia="en-US"/>
        </w:rPr>
        <w:t>–</w:t>
      </w:r>
      <w:r>
        <w:rPr>
          <w:rFonts w:eastAsiaTheme="minorHAnsi"/>
          <w:color w:val="000000" w:themeColor="text1"/>
          <w:lang w:eastAsia="en-US"/>
        </w:rPr>
        <w:t xml:space="preserve"> дълготрайни нематериални активи</w:t>
      </w:r>
    </w:p>
    <w:p w:rsidR="00974EC1" w:rsidRDefault="00974EC1" w:rsidP="007C388C">
      <w:pPr>
        <w:spacing w:before="120" w:after="120" w:line="360" w:lineRule="auto"/>
        <w:jc w:val="both"/>
        <w:rPr>
          <w:rFonts w:eastAsiaTheme="minorHAnsi"/>
          <w:color w:val="000000" w:themeColor="text1"/>
          <w:lang w:eastAsia="en-US"/>
        </w:rPr>
      </w:pPr>
      <w:r w:rsidRPr="00974EC1">
        <w:rPr>
          <w:rFonts w:eastAsiaTheme="minorHAnsi"/>
          <w:b/>
          <w:color w:val="000000" w:themeColor="text1"/>
          <w:lang w:eastAsia="en-US"/>
        </w:rPr>
        <w:lastRenderedPageBreak/>
        <w:t>ЕЕСМ</w:t>
      </w:r>
      <w:r>
        <w:rPr>
          <w:rFonts w:eastAsiaTheme="minorHAnsi"/>
          <w:color w:val="000000" w:themeColor="text1"/>
          <w:lang w:eastAsia="en-US"/>
        </w:rPr>
        <w:t xml:space="preserve"> – Единна </w:t>
      </w:r>
      <w:r w:rsidR="00063D20">
        <w:rPr>
          <w:rFonts w:eastAsiaTheme="minorHAnsi"/>
          <w:color w:val="000000" w:themeColor="text1"/>
          <w:lang w:eastAsia="en-US"/>
        </w:rPr>
        <w:t xml:space="preserve">електронна </w:t>
      </w:r>
      <w:r>
        <w:rPr>
          <w:rFonts w:eastAsiaTheme="minorHAnsi"/>
          <w:color w:val="000000" w:themeColor="text1"/>
          <w:lang w:eastAsia="en-US"/>
        </w:rPr>
        <w:t>съобщителна мрежа</w:t>
      </w:r>
    </w:p>
    <w:p w:rsidR="00E52BE3" w:rsidRDefault="00E52BE3" w:rsidP="007C388C">
      <w:pPr>
        <w:spacing w:before="120" w:after="120" w:line="360" w:lineRule="auto"/>
        <w:jc w:val="both"/>
        <w:rPr>
          <w:rFonts w:eastAsiaTheme="minorHAnsi"/>
          <w:color w:val="000000" w:themeColor="text1"/>
          <w:lang w:eastAsia="en-US"/>
        </w:rPr>
      </w:pPr>
      <w:r w:rsidRPr="00E52BE3">
        <w:rPr>
          <w:rFonts w:eastAsiaTheme="minorHAnsi"/>
          <w:b/>
          <w:color w:val="000000" w:themeColor="text1"/>
          <w:lang w:eastAsia="en-US"/>
        </w:rPr>
        <w:t xml:space="preserve">ЕИТ </w:t>
      </w:r>
      <w:r>
        <w:rPr>
          <w:rFonts w:eastAsiaTheme="minorHAnsi"/>
          <w:color w:val="000000" w:themeColor="text1"/>
          <w:lang w:eastAsia="en-US"/>
        </w:rPr>
        <w:t xml:space="preserve">– Единна информационна точка </w:t>
      </w:r>
    </w:p>
    <w:p w:rsidR="00654A90" w:rsidRDefault="00654A90" w:rsidP="007C388C">
      <w:pPr>
        <w:spacing w:before="240" w:after="60" w:line="360" w:lineRule="auto"/>
        <w:jc w:val="both"/>
        <w:rPr>
          <w:rFonts w:eastAsia="Verdana"/>
          <w:lang w:eastAsia="de-AT"/>
        </w:rPr>
      </w:pPr>
      <w:r>
        <w:rPr>
          <w:rFonts w:eastAsia="Verdana"/>
          <w:b/>
          <w:bCs/>
          <w:lang w:eastAsia="de-AT"/>
        </w:rPr>
        <w:t xml:space="preserve">ЕС </w:t>
      </w:r>
      <w:r>
        <w:rPr>
          <w:rFonts w:eastAsia="Verdana"/>
          <w:lang w:eastAsia="de-AT"/>
        </w:rPr>
        <w:t>– Европейски съюз</w:t>
      </w:r>
    </w:p>
    <w:p w:rsidR="00654A90" w:rsidRDefault="00654A90" w:rsidP="007C388C">
      <w:pPr>
        <w:spacing w:before="240" w:after="60" w:line="360" w:lineRule="auto"/>
        <w:jc w:val="both"/>
        <w:rPr>
          <w:rFonts w:eastAsia="Verdana"/>
          <w:color w:val="000000" w:themeColor="text1"/>
          <w:lang w:eastAsia="de-AT"/>
        </w:rPr>
      </w:pPr>
      <w:r>
        <w:rPr>
          <w:rFonts w:eastAsia="Verdana"/>
          <w:b/>
          <w:bCs/>
          <w:color w:val="000000" w:themeColor="text1"/>
          <w:lang w:eastAsia="de-AT"/>
        </w:rPr>
        <w:t>ЗЕС</w:t>
      </w:r>
      <w:r>
        <w:rPr>
          <w:rFonts w:eastAsia="Verdana"/>
          <w:color w:val="000000" w:themeColor="text1"/>
          <w:lang w:eastAsia="de-AT"/>
        </w:rPr>
        <w:t xml:space="preserve"> – Закон за електронните съобщения</w:t>
      </w:r>
    </w:p>
    <w:p w:rsidR="00654A90" w:rsidRDefault="00654A90" w:rsidP="007C388C">
      <w:pPr>
        <w:spacing w:before="240" w:after="60" w:line="360" w:lineRule="auto"/>
        <w:jc w:val="both"/>
        <w:rPr>
          <w:rFonts w:eastAsia="Verdana"/>
          <w:b/>
          <w:bCs/>
          <w:color w:val="000000" w:themeColor="text1"/>
          <w:lang w:eastAsia="de-AT"/>
        </w:rPr>
      </w:pPr>
      <w:r>
        <w:rPr>
          <w:rFonts w:eastAsia="Verdana"/>
          <w:b/>
          <w:bCs/>
          <w:lang w:eastAsia="de-AT"/>
        </w:rPr>
        <w:t>ЗОП</w:t>
      </w:r>
      <w:r>
        <w:rPr>
          <w:rFonts w:eastAsia="Verdana"/>
          <w:lang w:eastAsia="de-AT"/>
        </w:rPr>
        <w:t xml:space="preserve"> – Закон за обществените поръчки</w:t>
      </w:r>
      <w:r>
        <w:rPr>
          <w:rFonts w:eastAsia="Verdana"/>
          <w:b/>
          <w:bCs/>
          <w:color w:val="000000" w:themeColor="text1"/>
          <w:lang w:eastAsia="de-AT"/>
        </w:rPr>
        <w:t xml:space="preserve"> </w:t>
      </w:r>
    </w:p>
    <w:p w:rsidR="00654A90" w:rsidRDefault="00654A90" w:rsidP="007C388C">
      <w:pPr>
        <w:spacing w:before="240" w:after="60" w:line="360" w:lineRule="auto"/>
        <w:jc w:val="both"/>
        <w:rPr>
          <w:rFonts w:eastAsia="Verdana"/>
          <w:lang w:eastAsia="de-AT"/>
        </w:rPr>
      </w:pPr>
      <w:r>
        <w:rPr>
          <w:rFonts w:eastAsia="Verdana"/>
          <w:b/>
          <w:bCs/>
          <w:color w:val="000000" w:themeColor="text1"/>
          <w:lang w:eastAsia="de-AT"/>
        </w:rPr>
        <w:t xml:space="preserve">ЗЕСМФИ </w:t>
      </w:r>
      <w:r>
        <w:rPr>
          <w:rFonts w:eastAsia="Verdana"/>
          <w:lang w:eastAsia="de-AT"/>
        </w:rPr>
        <w:t>– Закон за електронните съобщителни мрежи и физическа инфраструктура</w:t>
      </w:r>
    </w:p>
    <w:p w:rsidR="00654A90" w:rsidRDefault="00654A90" w:rsidP="007C388C">
      <w:pPr>
        <w:spacing w:before="240" w:after="60" w:line="360" w:lineRule="auto"/>
        <w:jc w:val="both"/>
        <w:rPr>
          <w:rFonts w:eastAsia="Verdana"/>
          <w:b/>
          <w:bCs/>
          <w:lang w:eastAsia="de-AT"/>
        </w:rPr>
      </w:pPr>
      <w:r>
        <w:rPr>
          <w:rFonts w:eastAsia="Verdana"/>
          <w:b/>
          <w:bCs/>
          <w:lang w:eastAsia="de-AT"/>
        </w:rPr>
        <w:t>ЗУТ</w:t>
      </w:r>
      <w:r>
        <w:rPr>
          <w:rFonts w:eastAsia="Verdana"/>
          <w:lang w:eastAsia="de-AT"/>
        </w:rPr>
        <w:t xml:space="preserve"> – Закон за устройство на територията</w:t>
      </w:r>
    </w:p>
    <w:p w:rsidR="00654A90" w:rsidRDefault="00654A90" w:rsidP="007C388C">
      <w:pPr>
        <w:spacing w:before="240" w:after="60" w:line="360" w:lineRule="auto"/>
        <w:jc w:val="both"/>
        <w:rPr>
          <w:rFonts w:eastAsia="Verdana"/>
          <w:lang w:eastAsia="de-AT"/>
        </w:rPr>
      </w:pPr>
      <w:r>
        <w:rPr>
          <w:rFonts w:eastAsia="Verdana"/>
          <w:b/>
          <w:bCs/>
          <w:lang w:eastAsia="de-AT"/>
        </w:rPr>
        <w:t>ЗДП</w:t>
      </w:r>
      <w:r>
        <w:rPr>
          <w:rFonts w:eastAsia="Verdana"/>
          <w:lang w:eastAsia="de-AT"/>
        </w:rPr>
        <w:t xml:space="preserve"> – Закон за държавните помощи</w:t>
      </w:r>
    </w:p>
    <w:p w:rsidR="00974EC1" w:rsidRDefault="00294E00" w:rsidP="007C388C">
      <w:pPr>
        <w:spacing w:before="240" w:after="60" w:line="360" w:lineRule="auto"/>
        <w:jc w:val="both"/>
        <w:rPr>
          <w:rFonts w:eastAsia="Verdana"/>
          <w:lang w:eastAsia="de-AT"/>
        </w:rPr>
      </w:pPr>
      <w:r>
        <w:rPr>
          <w:rFonts w:eastAsia="Verdana"/>
          <w:b/>
          <w:lang w:eastAsia="de-AT"/>
        </w:rPr>
        <w:t>ИА</w:t>
      </w:r>
      <w:r w:rsidR="00974EC1" w:rsidRPr="00974EC1">
        <w:rPr>
          <w:rFonts w:eastAsia="Verdana"/>
          <w:b/>
          <w:lang w:eastAsia="de-AT"/>
        </w:rPr>
        <w:t>ИЕУ</w:t>
      </w:r>
      <w:r w:rsidR="00974EC1">
        <w:rPr>
          <w:rFonts w:eastAsia="Verdana"/>
          <w:lang w:eastAsia="de-AT"/>
        </w:rPr>
        <w:t xml:space="preserve"> -  Изпълнителна агенция „Инфраструктура на електронното управление“</w:t>
      </w:r>
    </w:p>
    <w:p w:rsidR="00654A90" w:rsidRDefault="00654A90" w:rsidP="007C388C">
      <w:pPr>
        <w:spacing w:before="240" w:after="60" w:line="360" w:lineRule="auto"/>
        <w:jc w:val="both"/>
        <w:rPr>
          <w:rFonts w:eastAsia="Verdana"/>
          <w:lang w:eastAsia="de-AT"/>
        </w:rPr>
      </w:pPr>
      <w:r>
        <w:rPr>
          <w:rFonts w:eastAsia="Verdana"/>
          <w:b/>
          <w:bCs/>
          <w:lang w:eastAsia="de-AT"/>
        </w:rPr>
        <w:t>ИСМ</w:t>
      </w:r>
      <w:r>
        <w:rPr>
          <w:rFonts w:eastAsia="Verdana"/>
          <w:lang w:eastAsia="de-AT"/>
        </w:rPr>
        <w:t xml:space="preserve"> – Информационна система за Механизма </w:t>
      </w:r>
    </w:p>
    <w:p w:rsidR="00654A90" w:rsidRDefault="00654A90" w:rsidP="007C388C">
      <w:pPr>
        <w:spacing w:before="240" w:after="60" w:line="360" w:lineRule="auto"/>
        <w:jc w:val="both"/>
        <w:rPr>
          <w:rFonts w:eastAsia="Verdana"/>
          <w:lang w:eastAsia="de-AT"/>
        </w:rPr>
      </w:pPr>
      <w:r>
        <w:rPr>
          <w:rFonts w:eastAsia="Verdana"/>
          <w:b/>
          <w:bCs/>
          <w:lang w:eastAsia="de-AT"/>
        </w:rPr>
        <w:t>ИСУН 2020</w:t>
      </w:r>
      <w:r>
        <w:rPr>
          <w:rFonts w:eastAsia="Verdana"/>
          <w:lang w:eastAsia="de-AT"/>
        </w:rPr>
        <w:t xml:space="preserve"> – Информационна система за управление и наблюдение на средствата от ЕС в България 2020</w:t>
      </w:r>
    </w:p>
    <w:p w:rsidR="00654A90" w:rsidRDefault="00654A90" w:rsidP="007C388C">
      <w:pPr>
        <w:spacing w:before="240" w:after="60" w:line="360" w:lineRule="auto"/>
        <w:jc w:val="both"/>
        <w:rPr>
          <w:rFonts w:eastAsia="Verdana"/>
          <w:lang w:eastAsia="de-AT"/>
        </w:rPr>
      </w:pPr>
      <w:r>
        <w:rPr>
          <w:rFonts w:eastAsia="Verdana"/>
          <w:b/>
          <w:bCs/>
          <w:color w:val="000000" w:themeColor="text1"/>
          <w:lang w:eastAsia="de-AT"/>
        </w:rPr>
        <w:t>КЕП</w:t>
      </w:r>
      <w:r>
        <w:rPr>
          <w:rFonts w:eastAsia="Verdana"/>
          <w:color w:val="000000" w:themeColor="text1"/>
          <w:lang w:eastAsia="de-AT"/>
        </w:rPr>
        <w:t xml:space="preserve"> </w:t>
      </w:r>
      <w:r>
        <w:rPr>
          <w:rFonts w:eastAsia="Verdana"/>
          <w:lang w:eastAsia="de-AT"/>
        </w:rPr>
        <w:t>– Квалифициран електронен подпис издаден от доставчик на квалифицирани електронни удостоверителни услуги по смисъла на чл. 3, параграф 20) от Регламент (ЕС) № 910/2014</w:t>
      </w:r>
    </w:p>
    <w:p w:rsidR="00CE2D48" w:rsidRDefault="00CE2D48" w:rsidP="007C388C">
      <w:pPr>
        <w:spacing w:before="240" w:after="60" w:line="360" w:lineRule="auto"/>
        <w:jc w:val="both"/>
        <w:rPr>
          <w:rFonts w:eastAsia="Verdana"/>
          <w:lang w:eastAsia="de-AT"/>
        </w:rPr>
      </w:pPr>
      <w:r w:rsidRPr="00CE2D48">
        <w:rPr>
          <w:rFonts w:eastAsia="Verdana"/>
          <w:b/>
          <w:lang w:eastAsia="de-AT"/>
        </w:rPr>
        <w:t>КРС</w:t>
      </w:r>
      <w:r>
        <w:rPr>
          <w:rFonts w:eastAsia="Verdana"/>
          <w:lang w:eastAsia="de-AT"/>
        </w:rPr>
        <w:t xml:space="preserve"> – Комисия за регулиране на съобщенията</w:t>
      </w:r>
    </w:p>
    <w:p w:rsidR="00654A90" w:rsidRDefault="00654A90" w:rsidP="007C388C">
      <w:pPr>
        <w:spacing w:before="240" w:after="60" w:line="360" w:lineRule="auto"/>
        <w:jc w:val="both"/>
        <w:rPr>
          <w:rFonts w:eastAsia="Verdana"/>
          <w:lang w:eastAsia="de-AT"/>
        </w:rPr>
      </w:pPr>
      <w:r>
        <w:rPr>
          <w:rFonts w:eastAsia="Verdana"/>
          <w:b/>
          <w:bCs/>
          <w:lang w:eastAsia="de-AT"/>
        </w:rPr>
        <w:t>МТС</w:t>
      </w:r>
      <w:r>
        <w:rPr>
          <w:rFonts w:eastAsia="Verdana"/>
          <w:lang w:eastAsia="de-AT"/>
        </w:rPr>
        <w:t xml:space="preserve"> – Министерство на транспорта и съобщенията</w:t>
      </w:r>
    </w:p>
    <w:p w:rsidR="00654A90" w:rsidRDefault="00654A90" w:rsidP="007C388C">
      <w:pPr>
        <w:spacing w:before="240" w:after="60" w:line="360" w:lineRule="auto"/>
        <w:jc w:val="both"/>
        <w:rPr>
          <w:rFonts w:eastAsia="Verdana"/>
          <w:lang w:eastAsia="de-AT"/>
        </w:rPr>
      </w:pPr>
      <w:r>
        <w:rPr>
          <w:rFonts w:eastAsia="Verdana"/>
          <w:b/>
          <w:bCs/>
          <w:lang w:eastAsia="de-AT"/>
        </w:rPr>
        <w:t>Механизъм/МВУ</w:t>
      </w:r>
      <w:r>
        <w:rPr>
          <w:rFonts w:eastAsia="Verdana"/>
          <w:lang w:eastAsia="de-AT"/>
        </w:rPr>
        <w:t xml:space="preserve"> – Механизъм за възстановяване и устойчивост</w:t>
      </w:r>
    </w:p>
    <w:p w:rsidR="00654A90" w:rsidRDefault="00654A90" w:rsidP="007C388C">
      <w:pPr>
        <w:spacing w:before="240" w:after="60" w:line="360" w:lineRule="auto"/>
        <w:jc w:val="both"/>
        <w:rPr>
          <w:rFonts w:eastAsia="Verdana"/>
          <w:lang w:eastAsia="de-AT"/>
        </w:rPr>
      </w:pPr>
      <w:r>
        <w:rPr>
          <w:rFonts w:eastAsia="Verdana"/>
          <w:b/>
          <w:bCs/>
          <w:lang w:eastAsia="de-AT"/>
        </w:rPr>
        <w:t>НПВУ</w:t>
      </w:r>
      <w:r>
        <w:rPr>
          <w:rFonts w:eastAsia="Verdana"/>
          <w:lang w:eastAsia="de-AT"/>
        </w:rPr>
        <w:t xml:space="preserve"> – Национален план за възстановяване и устойчивост на Република България</w:t>
      </w:r>
    </w:p>
    <w:p w:rsidR="00654A90" w:rsidRDefault="00654A90" w:rsidP="007C388C">
      <w:pPr>
        <w:spacing w:before="240" w:after="60" w:line="360" w:lineRule="auto"/>
        <w:jc w:val="both"/>
        <w:rPr>
          <w:rFonts w:eastAsia="Verdana"/>
          <w:color w:val="000000" w:themeColor="text1"/>
          <w:lang w:eastAsia="de-AT"/>
        </w:rPr>
      </w:pPr>
      <w:r>
        <w:rPr>
          <w:rFonts w:eastAsia="Verdana"/>
          <w:b/>
          <w:bCs/>
          <w:color w:val="000000" w:themeColor="text1"/>
          <w:lang w:eastAsia="de-AT"/>
        </w:rPr>
        <w:lastRenderedPageBreak/>
        <w:t>ПМС №80/2022</w:t>
      </w:r>
      <w:r>
        <w:rPr>
          <w:rFonts w:eastAsia="Verdana"/>
          <w:color w:val="000000" w:themeColor="text1"/>
          <w:lang w:eastAsia="de-AT"/>
        </w:rPr>
        <w:t xml:space="preserve"> – Постановление № 80 на МС от 09.05.2022 г. за определяне на правилата за възлагане на дейности по инвестиции от крайни получатели на средства от Механизма за възстановяване и устойчивост</w:t>
      </w:r>
    </w:p>
    <w:p w:rsidR="00654A90" w:rsidRDefault="00654A90" w:rsidP="007C388C">
      <w:pPr>
        <w:spacing w:before="240" w:after="60" w:line="360" w:lineRule="auto"/>
        <w:jc w:val="both"/>
        <w:rPr>
          <w:rFonts w:eastAsia="Verdana"/>
          <w:color w:val="000000" w:themeColor="text1"/>
          <w:lang w:eastAsia="de-AT"/>
        </w:rPr>
      </w:pPr>
      <w:r>
        <w:rPr>
          <w:rFonts w:eastAsia="Verdana"/>
          <w:b/>
          <w:bCs/>
          <w:color w:val="000000" w:themeColor="text1"/>
          <w:lang w:eastAsia="de-AT"/>
        </w:rPr>
        <w:t>ПМС №114/2022</w:t>
      </w:r>
      <w:r>
        <w:rPr>
          <w:rFonts w:eastAsia="Verdana"/>
          <w:color w:val="000000" w:themeColor="text1"/>
          <w:lang w:eastAsia="de-AT"/>
        </w:rPr>
        <w:t xml:space="preserve"> – Постановление №114 на МС от 08.06.2022 г. за определяне на детайлни правила за предоставяне на средства на крайни получатели от Механизма за възстановяване и устойчивост</w:t>
      </w:r>
    </w:p>
    <w:p w:rsidR="00654A90" w:rsidRDefault="00654A90" w:rsidP="007C388C">
      <w:pPr>
        <w:spacing w:before="240" w:after="60" w:line="360" w:lineRule="auto"/>
        <w:jc w:val="both"/>
        <w:rPr>
          <w:rFonts w:eastAsia="Verdana"/>
          <w:color w:val="000000" w:themeColor="text1"/>
          <w:lang w:eastAsia="de-AT"/>
        </w:rPr>
      </w:pPr>
      <w:r>
        <w:rPr>
          <w:rFonts w:eastAsia="Verdana"/>
          <w:b/>
          <w:bCs/>
          <w:color w:val="000000" w:themeColor="text1"/>
          <w:lang w:eastAsia="de-AT"/>
        </w:rPr>
        <w:t>ПМС №157/2022</w:t>
      </w:r>
      <w:r>
        <w:rPr>
          <w:rFonts w:eastAsia="Verdana"/>
          <w:color w:val="000000" w:themeColor="text1"/>
          <w:lang w:eastAsia="de-AT"/>
        </w:rPr>
        <w:t xml:space="preserve"> – Постановление №157 на МС от 07.07.2022 г. за определяне на органите и структурите, отговорни за изпълнението на Плана за възстановяване и устойчивост на Република България, и на техните основни функции</w:t>
      </w:r>
    </w:p>
    <w:p w:rsidR="00654A90" w:rsidRDefault="00654A90" w:rsidP="007C388C">
      <w:pPr>
        <w:spacing w:before="240" w:after="60" w:line="360" w:lineRule="auto"/>
        <w:jc w:val="both"/>
        <w:rPr>
          <w:rFonts w:eastAsia="Verdana"/>
          <w:b/>
          <w:bCs/>
          <w:lang w:eastAsia="de-AT"/>
        </w:rPr>
      </w:pPr>
      <w:r>
        <w:rPr>
          <w:rFonts w:eastAsia="Verdana"/>
          <w:b/>
          <w:bCs/>
          <w:color w:val="000000" w:themeColor="text1"/>
          <w:lang w:eastAsia="de-AT"/>
        </w:rPr>
        <w:t xml:space="preserve">СМР </w:t>
      </w:r>
      <w:r>
        <w:rPr>
          <w:rFonts w:eastAsia="Verdana"/>
          <w:lang w:eastAsia="de-AT"/>
        </w:rPr>
        <w:t>–</w:t>
      </w:r>
      <w:r>
        <w:rPr>
          <w:rFonts w:eastAsia="Verdana"/>
          <w:color w:val="000000" w:themeColor="text1"/>
          <w:lang w:eastAsia="de-AT"/>
        </w:rPr>
        <w:t>строително-монтажни работи</w:t>
      </w:r>
    </w:p>
    <w:p w:rsidR="00654A90" w:rsidRDefault="00654A90" w:rsidP="007C388C">
      <w:pPr>
        <w:spacing w:before="240" w:after="60" w:line="360" w:lineRule="auto"/>
        <w:jc w:val="both"/>
        <w:rPr>
          <w:rFonts w:eastAsia="Verdana"/>
          <w:lang w:eastAsia="de-AT"/>
        </w:rPr>
      </w:pPr>
      <w:r>
        <w:rPr>
          <w:rFonts w:eastAsia="Verdana"/>
          <w:b/>
          <w:bCs/>
          <w:lang w:eastAsia="de-AT"/>
        </w:rPr>
        <w:t>СНД</w:t>
      </w:r>
      <w:r>
        <w:rPr>
          <w:rFonts w:eastAsia="Verdana"/>
          <w:lang w:eastAsia="de-AT"/>
        </w:rPr>
        <w:t xml:space="preserve"> – Министерство на транспорта и съобщенията е определено за структура за наблюдение и докладване от Министерски съвет и е отговорно за изпълнението на инвестиция </w:t>
      </w:r>
      <w:r w:rsidR="004C6C7D">
        <w:rPr>
          <w:rFonts w:eastAsia="Verdana"/>
          <w:lang w:val="en-US" w:eastAsia="de-AT"/>
        </w:rPr>
        <w:t>K</w:t>
      </w:r>
      <w:r>
        <w:rPr>
          <w:rFonts w:eastAsia="Verdana"/>
          <w:lang w:eastAsia="de-AT"/>
        </w:rPr>
        <w:t>7.</w:t>
      </w:r>
      <w:r w:rsidR="004C6C7D">
        <w:rPr>
          <w:rFonts w:eastAsia="Verdana"/>
          <w:lang w:eastAsia="de-AT"/>
        </w:rPr>
        <w:t>И</w:t>
      </w:r>
      <w:r w:rsidR="00D237B3">
        <w:rPr>
          <w:rFonts w:eastAsia="Verdana"/>
          <w:lang w:eastAsia="de-AT"/>
        </w:rPr>
        <w:t>1</w:t>
      </w:r>
      <w:r>
        <w:rPr>
          <w:rFonts w:eastAsia="Verdana"/>
          <w:lang w:eastAsia="de-AT"/>
        </w:rPr>
        <w:t xml:space="preserve"> („Широкомащабно разгръщане на цифрова инфраструктура на територията на България“</w:t>
      </w:r>
      <w:r>
        <w:t xml:space="preserve"> </w:t>
      </w:r>
      <w:r>
        <w:rPr>
          <w:rFonts w:eastAsia="Verdana"/>
          <w:lang w:eastAsia="de-AT"/>
        </w:rPr>
        <w:t>)</w:t>
      </w:r>
    </w:p>
    <w:p w:rsidR="00654A90" w:rsidRDefault="00654A90" w:rsidP="007C388C">
      <w:pPr>
        <w:spacing w:before="240" w:after="60" w:line="360" w:lineRule="auto"/>
        <w:jc w:val="both"/>
        <w:rPr>
          <w:rFonts w:eastAsia="Verdana"/>
          <w:lang w:eastAsia="de-AT"/>
        </w:rPr>
      </w:pPr>
      <w:r>
        <w:rPr>
          <w:rFonts w:eastAsia="Verdana"/>
          <w:b/>
          <w:bCs/>
          <w:lang w:eastAsia="de-AT"/>
        </w:rPr>
        <w:t>ТР и Регистър на ЮЛНЦ</w:t>
      </w:r>
      <w:r>
        <w:rPr>
          <w:rFonts w:eastAsia="Verdana"/>
          <w:lang w:eastAsia="de-AT"/>
        </w:rPr>
        <w:t xml:space="preserve"> – Търговски регистър и регистър на юридическите лица с нестопанска цел или аналогичен регистър в държавата членка на Европейското икономическо пространство за чуждестранни юридически лица</w:t>
      </w:r>
    </w:p>
    <w:p w:rsidR="00342016" w:rsidRDefault="00654A90" w:rsidP="007C388C">
      <w:pPr>
        <w:spacing w:before="240" w:after="60" w:line="360" w:lineRule="auto"/>
        <w:jc w:val="both"/>
        <w:rPr>
          <w:rFonts w:eastAsia="Verdana"/>
          <w:lang w:eastAsia="de-AT"/>
        </w:rPr>
      </w:pPr>
      <w:r>
        <w:rPr>
          <w:rFonts w:eastAsia="Verdana"/>
          <w:b/>
          <w:bCs/>
          <w:lang w:eastAsia="de-AT"/>
        </w:rPr>
        <w:t>ОЕРЕС</w:t>
      </w:r>
      <w:r>
        <w:rPr>
          <w:rFonts w:eastAsia="Verdana"/>
          <w:lang w:eastAsia="de-AT"/>
        </w:rPr>
        <w:t xml:space="preserve"> – Орган на европейските регулатори в областта на електронните съобщения</w:t>
      </w:r>
    </w:p>
    <w:p w:rsidR="00882014" w:rsidRPr="00654A90" w:rsidRDefault="00882014" w:rsidP="007C388C">
      <w:pPr>
        <w:spacing w:before="240" w:after="60" w:line="360" w:lineRule="auto"/>
        <w:jc w:val="both"/>
        <w:rPr>
          <w:rFonts w:eastAsia="Verdana"/>
          <w:lang w:eastAsia="de-AT"/>
        </w:rPr>
      </w:pPr>
      <w:r w:rsidRPr="00882014">
        <w:rPr>
          <w:rFonts w:eastAsia="Verdana"/>
          <w:b/>
          <w:lang w:eastAsia="de-AT"/>
        </w:rPr>
        <w:t>ОРГО</w:t>
      </w:r>
      <w:r>
        <w:rPr>
          <w:rFonts w:eastAsia="Verdana"/>
          <w:lang w:eastAsia="de-AT"/>
        </w:rPr>
        <w:t xml:space="preserve"> – Общ регламент за групово освобождаване</w:t>
      </w:r>
    </w:p>
    <w:sectPr w:rsidR="00882014" w:rsidRPr="00654A90" w:rsidSect="005B3926">
      <w:headerReference w:type="even" r:id="rId13"/>
      <w:headerReference w:type="default" r:id="rId14"/>
      <w:footerReference w:type="default" r:id="rId15"/>
      <w:headerReference w:type="first" r:id="rId16"/>
      <w:pgSz w:w="11906" w:h="16838" w:code="9"/>
      <w:pgMar w:top="2268" w:right="1418" w:bottom="1418" w:left="1418" w:header="709"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9427F5" w16cex:dateUtc="2024-11-04T19:41:00Z"/>
  <w16cex:commentExtensible w16cex:durableId="12723A53" w16cex:dateUtc="2024-11-04T11:23:00Z"/>
  <w16cex:commentExtensible w16cex:durableId="316EA0D5" w16cex:dateUtc="2024-11-04T11:27:00Z"/>
  <w16cex:commentExtensible w16cex:durableId="5F95EAE2" w16cex:dateUtc="2024-11-04T11:31:00Z"/>
  <w16cex:commentExtensible w16cex:durableId="516B7EBF" w16cex:dateUtc="2024-11-04T15:09:00Z"/>
  <w16cex:commentExtensible w16cex:durableId="42447568" w16cex:dateUtc="2024-11-04T11:34:00Z"/>
  <w16cex:commentExtensible w16cex:durableId="7CB43CAA" w16cex:dateUtc="2024-11-04T19:44:00Z"/>
  <w16cex:commentExtensible w16cex:durableId="4B86B82E" w16cex:dateUtc="2024-11-04T12:25:00Z"/>
  <w16cex:commentExtensible w16cex:durableId="1B445408" w16cex:dateUtc="2024-11-04T11:49:00Z"/>
  <w16cex:commentExtensible w16cex:durableId="6243F4C1" w16cex:dateUtc="2024-11-04T15:29:00Z"/>
  <w16cex:commentExtensible w16cex:durableId="3873E7B5" w16cex:dateUtc="2024-11-04T15:31:00Z"/>
  <w16cex:commentExtensible w16cex:durableId="5EB269C4" w16cex:dateUtc="2024-11-04T11:56:00Z"/>
  <w16cex:commentExtensible w16cex:durableId="2FB08740" w16cex:dateUtc="2024-11-04T19:46:00Z"/>
  <w16cex:commentExtensible w16cex:durableId="681D483D" w16cex:dateUtc="2024-11-04T15:48:00Z"/>
  <w16cex:commentExtensible w16cex:durableId="1A33C911" w16cex:dateUtc="2024-11-04T12:28:00Z"/>
  <w16cex:commentExtensible w16cex:durableId="1962146E" w16cex:dateUtc="2024-11-04T14:02:00Z"/>
  <w16cex:commentExtensible w16cex:durableId="6ADE3A70" w16cex:dateUtc="2024-11-04T12:31:00Z"/>
  <w16cex:commentExtensible w16cex:durableId="16703A73" w16cex:dateUtc="2024-11-04T19:47:00Z"/>
  <w16cex:commentExtensible w16cex:durableId="27872220" w16cex:dateUtc="2024-11-04T19:48:00Z"/>
  <w16cex:commentExtensible w16cex:durableId="40E91D65" w16cex:dateUtc="2024-11-0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818B99" w16cid:durableId="1C9427F5"/>
  <w16cid:commentId w16cid:paraId="1416AC9E" w16cid:durableId="12723A53"/>
  <w16cid:commentId w16cid:paraId="18F89181" w16cid:durableId="316EA0D5"/>
  <w16cid:commentId w16cid:paraId="295B4230" w16cid:durableId="5F95EAE2"/>
  <w16cid:commentId w16cid:paraId="12E7247C" w16cid:durableId="516B7EBF"/>
  <w16cid:commentId w16cid:paraId="545765A7" w16cid:durableId="42447568"/>
  <w16cid:commentId w16cid:paraId="5945C1DC" w16cid:durableId="7CB43CAA"/>
  <w16cid:commentId w16cid:paraId="173F3DB4" w16cid:durableId="4B86B82E"/>
  <w16cid:commentId w16cid:paraId="00C8992B" w16cid:durableId="1B445408"/>
  <w16cid:commentId w16cid:paraId="5642E65E" w16cid:durableId="6243F4C1"/>
  <w16cid:commentId w16cid:paraId="0E7CB4D6" w16cid:durableId="3873E7B5"/>
  <w16cid:commentId w16cid:paraId="19D5D37A" w16cid:durableId="5EB269C4"/>
  <w16cid:commentId w16cid:paraId="56E08C36" w16cid:durableId="2FB08740"/>
  <w16cid:commentId w16cid:paraId="4143EE0C" w16cid:durableId="681D483D"/>
  <w16cid:commentId w16cid:paraId="75639DA0" w16cid:durableId="1A33C911"/>
  <w16cid:commentId w16cid:paraId="314171E1" w16cid:durableId="1962146E"/>
  <w16cid:commentId w16cid:paraId="383A874C" w16cid:durableId="6ADE3A70"/>
  <w16cid:commentId w16cid:paraId="2AF2A1EC" w16cid:durableId="16703A73"/>
  <w16cid:commentId w16cid:paraId="4656D67E" w16cid:durableId="27872220"/>
  <w16cid:commentId w16cid:paraId="5F7B6A41" w16cid:durableId="40E91D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AF1" w:rsidRDefault="00911AF1">
      <w:pPr>
        <w:pStyle w:val="Stext"/>
      </w:pPr>
      <w:r>
        <w:separator/>
      </w:r>
    </w:p>
    <w:p w:rsidR="00911AF1" w:rsidRDefault="00911AF1">
      <w:pPr>
        <w:pStyle w:val="Stext"/>
      </w:pPr>
    </w:p>
    <w:p w:rsidR="00911AF1" w:rsidRDefault="00911AF1">
      <w:pPr>
        <w:pStyle w:val="Stext"/>
      </w:pPr>
    </w:p>
    <w:p w:rsidR="00911AF1" w:rsidRDefault="00911AF1">
      <w:pPr>
        <w:pStyle w:val="Stext"/>
      </w:pPr>
    </w:p>
  </w:endnote>
  <w:endnote w:type="continuationSeparator" w:id="0">
    <w:p w:rsidR="00911AF1" w:rsidRDefault="00911AF1">
      <w:pPr>
        <w:pStyle w:val="Stext"/>
      </w:pPr>
      <w:r>
        <w:continuationSeparator/>
      </w:r>
    </w:p>
    <w:p w:rsidR="00911AF1" w:rsidRDefault="00911AF1">
      <w:pPr>
        <w:pStyle w:val="Stext"/>
      </w:pPr>
    </w:p>
    <w:p w:rsidR="00911AF1" w:rsidRDefault="00911AF1">
      <w:pPr>
        <w:pStyle w:val="Stext"/>
      </w:pPr>
    </w:p>
    <w:p w:rsidR="00911AF1" w:rsidRDefault="00911AF1">
      <w:pPr>
        <w:pStyle w:val="Stext"/>
      </w:pPr>
    </w:p>
  </w:endnote>
  <w:endnote w:type="continuationNotice" w:id="1">
    <w:p w:rsidR="00911AF1" w:rsidRDefault="00911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HelveticaNeueLT Pro 43 LtEx">
    <w:panose1 w:val="00000000000000000000"/>
    <w:charset w:val="00"/>
    <w:family w:val="swiss"/>
    <w:notTrueType/>
    <w:pitch w:val="variable"/>
    <w:sig w:usb0="800000AF" w:usb1="5000204A" w:usb2="00000000" w:usb3="00000000" w:csb0="0000009B"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652341"/>
      <w:docPartObj>
        <w:docPartGallery w:val="Page Numbers (Bottom of Page)"/>
        <w:docPartUnique/>
      </w:docPartObj>
    </w:sdtPr>
    <w:sdtEndPr/>
    <w:sdtContent>
      <w:sdt>
        <w:sdtPr>
          <w:id w:val="-1769616900"/>
          <w:docPartObj>
            <w:docPartGallery w:val="Page Numbers (Top of Page)"/>
            <w:docPartUnique/>
          </w:docPartObj>
        </w:sdtPr>
        <w:sdtEndPr/>
        <w:sdtContent>
          <w:p w:rsidR="00F95FC4" w:rsidRDefault="00F95FC4">
            <w:pPr>
              <w:pStyle w:val="Footer"/>
              <w:jc w:val="right"/>
            </w:pPr>
            <w:r w:rsidRPr="004368B5">
              <w:rPr>
                <w:rFonts w:ascii="Times New Roman" w:hAnsi="Times New Roman"/>
                <w:bCs/>
              </w:rPr>
              <w:fldChar w:fldCharType="begin"/>
            </w:r>
            <w:r w:rsidRPr="004368B5">
              <w:rPr>
                <w:rFonts w:ascii="Times New Roman" w:hAnsi="Times New Roman"/>
                <w:bCs/>
              </w:rPr>
              <w:instrText xml:space="preserve"> PAGE </w:instrText>
            </w:r>
            <w:r w:rsidRPr="004368B5">
              <w:rPr>
                <w:rFonts w:ascii="Times New Roman" w:hAnsi="Times New Roman"/>
                <w:bCs/>
              </w:rPr>
              <w:fldChar w:fldCharType="separate"/>
            </w:r>
            <w:r w:rsidR="00E57BA3">
              <w:rPr>
                <w:rFonts w:ascii="Times New Roman" w:hAnsi="Times New Roman"/>
                <w:bCs/>
                <w:noProof/>
              </w:rPr>
              <w:t>31</w:t>
            </w:r>
            <w:r w:rsidRPr="004368B5">
              <w:rPr>
                <w:rFonts w:ascii="Times New Roman" w:hAnsi="Times New Roman"/>
                <w:bCs/>
              </w:rPr>
              <w:fldChar w:fldCharType="end"/>
            </w:r>
            <w:r w:rsidRPr="004368B5">
              <w:rPr>
                <w:rFonts w:ascii="Times New Roman" w:hAnsi="Times New Roman"/>
                <w:bCs/>
              </w:rPr>
              <w:t>/</w:t>
            </w:r>
            <w:r w:rsidRPr="004368B5">
              <w:rPr>
                <w:rFonts w:ascii="Times New Roman" w:hAnsi="Times New Roman"/>
                <w:bCs/>
              </w:rPr>
              <w:fldChar w:fldCharType="begin"/>
            </w:r>
            <w:r w:rsidRPr="004368B5">
              <w:rPr>
                <w:rFonts w:ascii="Times New Roman" w:hAnsi="Times New Roman"/>
                <w:bCs/>
              </w:rPr>
              <w:instrText xml:space="preserve"> NUMPAGES  </w:instrText>
            </w:r>
            <w:r w:rsidRPr="004368B5">
              <w:rPr>
                <w:rFonts w:ascii="Times New Roman" w:hAnsi="Times New Roman"/>
                <w:bCs/>
              </w:rPr>
              <w:fldChar w:fldCharType="separate"/>
            </w:r>
            <w:r w:rsidR="00E57BA3">
              <w:rPr>
                <w:rFonts w:ascii="Times New Roman" w:hAnsi="Times New Roman"/>
                <w:bCs/>
                <w:noProof/>
              </w:rPr>
              <w:t>65</w:t>
            </w:r>
            <w:r w:rsidRPr="004368B5">
              <w:rPr>
                <w:rFonts w:ascii="Times New Roman" w:hAnsi="Times New Roman"/>
                <w:bCs/>
              </w:rPr>
              <w:fldChar w:fldCharType="end"/>
            </w:r>
          </w:p>
        </w:sdtContent>
      </w:sdt>
    </w:sdtContent>
  </w:sdt>
  <w:p w:rsidR="00F95FC4" w:rsidRDefault="00F95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AF1" w:rsidRDefault="00911AF1">
      <w:pPr>
        <w:pStyle w:val="Stext"/>
      </w:pPr>
      <w:r>
        <w:separator/>
      </w:r>
    </w:p>
  </w:footnote>
  <w:footnote w:type="continuationSeparator" w:id="0">
    <w:p w:rsidR="00911AF1" w:rsidRDefault="00911AF1">
      <w:pPr>
        <w:pStyle w:val="Stext"/>
      </w:pPr>
      <w:r>
        <w:continuationSeparator/>
      </w:r>
    </w:p>
  </w:footnote>
  <w:footnote w:type="continuationNotice" w:id="1">
    <w:p w:rsidR="00911AF1" w:rsidRPr="00E77452" w:rsidRDefault="00911AF1" w:rsidP="00BC0339">
      <w:pPr>
        <w:pStyle w:val="Stext"/>
      </w:pPr>
    </w:p>
  </w:footnote>
  <w:footnote w:id="2">
    <w:p w:rsidR="00F95FC4" w:rsidRPr="00E5274F" w:rsidRDefault="00F95FC4">
      <w:pPr>
        <w:pStyle w:val="FootnoteText"/>
        <w:rPr>
          <w:rFonts w:ascii="Times New Roman" w:hAnsi="Times New Roman" w:cs="Times New Roman"/>
          <w:lang w:val="en-US"/>
        </w:rPr>
      </w:pPr>
      <w:r w:rsidRPr="00E5274F">
        <w:rPr>
          <w:rStyle w:val="FootnoteReference"/>
          <w:rFonts w:ascii="Times New Roman" w:hAnsi="Times New Roman" w:cs="Times New Roman"/>
        </w:rPr>
        <w:footnoteRef/>
      </w:r>
      <w:r w:rsidRPr="00E5274F">
        <w:rPr>
          <w:rFonts w:ascii="Times New Roman" w:hAnsi="Times New Roman" w:cs="Times New Roman"/>
        </w:rPr>
        <w:t xml:space="preserve"> </w:t>
      </w:r>
      <w:hyperlink r:id="rId1" w:history="1">
        <w:r w:rsidRPr="00E5274F">
          <w:rPr>
            <w:rStyle w:val="Hyperlink"/>
            <w:rFonts w:ascii="Times New Roman" w:hAnsi="Times New Roman" w:cs="Times New Roman"/>
          </w:rPr>
          <w:t>Доклад за цифровото десетилетие за 2024 г.</w:t>
        </w:r>
      </w:hyperlink>
    </w:p>
  </w:footnote>
  <w:footnote w:id="3">
    <w:p w:rsidR="00F95FC4" w:rsidRDefault="00F95FC4" w:rsidP="00170995">
      <w:pPr>
        <w:pStyle w:val="FootnoteText"/>
        <w:rPr>
          <w:rFonts w:ascii="Times New Roman" w:hAnsi="Times New Roman" w:cs="Times New Roman"/>
          <w:i/>
          <w:iCs/>
          <w:sz w:val="18"/>
          <w:szCs w:val="18"/>
          <w:lang w:val="bg-BG"/>
        </w:rPr>
      </w:pPr>
      <w:r>
        <w:rPr>
          <w:rStyle w:val="FootnoteReference"/>
          <w:rFonts w:ascii="Times New Roman" w:hAnsi="Times New Roman" w:cs="Times New Roman"/>
          <w:i/>
          <w:iCs/>
          <w:sz w:val="18"/>
          <w:szCs w:val="18"/>
          <w:lang w:val="bg-BG"/>
        </w:rPr>
        <w:footnoteRef/>
      </w:r>
      <w:r>
        <w:rPr>
          <w:rFonts w:ascii="Times New Roman" w:hAnsi="Times New Roman" w:cs="Times New Roman"/>
          <w:i/>
          <w:iCs/>
          <w:sz w:val="18"/>
          <w:szCs w:val="18"/>
          <w:lang w:val="bg-BG"/>
        </w:rPr>
        <w:t xml:space="preserve"> "Започване на работите" означава по-ранното от следните събития: започване на строителните работи, свързани с инвестицията, или поемане на първия правнообвързващ ангажимент за поръчка на оборудване </w:t>
      </w:r>
      <w:r w:rsidRPr="007F09D3">
        <w:rPr>
          <w:rFonts w:ascii="Times New Roman" w:hAnsi="Times New Roman" w:cs="Times New Roman"/>
          <w:i/>
          <w:iCs/>
          <w:sz w:val="18"/>
          <w:szCs w:val="18"/>
          <w:lang w:val="bg-BG"/>
        </w:rPr>
        <w:t xml:space="preserve">за конкретната инвестиция </w:t>
      </w:r>
      <w:r>
        <w:rPr>
          <w:rFonts w:ascii="Times New Roman" w:hAnsi="Times New Roman" w:cs="Times New Roman"/>
          <w:i/>
          <w:iCs/>
          <w:sz w:val="18"/>
          <w:szCs w:val="18"/>
          <w:lang w:val="bg-BG"/>
        </w:rPr>
        <w:t>или всеки друг ангажимент, с който инвестицията става необратима. Учредяване на права и подготвителни дейности върху поземлени имоти</w:t>
      </w:r>
      <w:r w:rsidRPr="00F43E01">
        <w:rPr>
          <w:rFonts w:ascii="Times New Roman" w:hAnsi="Times New Roman" w:cs="Times New Roman"/>
          <w:i/>
          <w:iCs/>
          <w:sz w:val="18"/>
          <w:szCs w:val="18"/>
          <w:lang w:val="bg-BG"/>
        </w:rPr>
        <w:t>, като получаването на разрешително и провеждането на предварителни проучвания за осъществимост, не се считат за започване на работите</w:t>
      </w:r>
      <w:r>
        <w:rPr>
          <w:rFonts w:ascii="Times New Roman" w:hAnsi="Times New Roman" w:cs="Times New Roman"/>
          <w:i/>
          <w:iCs/>
          <w:sz w:val="18"/>
          <w:szCs w:val="18"/>
          <w:lang w:val="bg-BG"/>
        </w:rPr>
        <w:t>.</w:t>
      </w:r>
    </w:p>
  </w:footnote>
  <w:footnote w:id="4">
    <w:p w:rsidR="00F95FC4" w:rsidRPr="00D939DD" w:rsidRDefault="00F95FC4">
      <w:pPr>
        <w:pStyle w:val="FootnoteText"/>
        <w:rPr>
          <w:rFonts w:ascii="Times New Roman" w:hAnsi="Times New Roman" w:cs="Times New Roman"/>
          <w:i/>
          <w:iCs/>
          <w:sz w:val="18"/>
          <w:szCs w:val="18"/>
          <w:lang w:val="en-US"/>
        </w:rPr>
      </w:pPr>
      <w:r>
        <w:rPr>
          <w:rStyle w:val="FootnoteReference"/>
        </w:rPr>
        <w:footnoteRef/>
      </w:r>
      <w:r>
        <w:t xml:space="preserve"> </w:t>
      </w:r>
      <w:r w:rsidRPr="00D939DD">
        <w:rPr>
          <w:rFonts w:ascii="Times New Roman" w:hAnsi="Times New Roman" w:cs="Times New Roman"/>
          <w:i/>
          <w:iCs/>
          <w:sz w:val="18"/>
          <w:szCs w:val="18"/>
          <w:lang w:val="bg-BG"/>
        </w:rPr>
        <w:t xml:space="preserve">Допълнителна информация за "предприятие в затруднено положение" е налична в </w:t>
      </w:r>
      <w:r w:rsidRPr="00203519">
        <w:rPr>
          <w:rFonts w:ascii="Times New Roman" w:hAnsi="Times New Roman" w:cs="Times New Roman"/>
          <w:i/>
          <w:iCs/>
          <w:sz w:val="18"/>
          <w:szCs w:val="18"/>
          <w:lang w:val="bg-BG"/>
        </w:rPr>
        <w:t xml:space="preserve">Приложение </w:t>
      </w:r>
      <w:r w:rsidRPr="00E57C4A">
        <w:rPr>
          <w:rFonts w:ascii="Times New Roman" w:hAnsi="Times New Roman" w:cs="Times New Roman"/>
          <w:i/>
          <w:iCs/>
          <w:sz w:val="18"/>
          <w:szCs w:val="18"/>
          <w:lang w:val="bg-BG"/>
        </w:rPr>
        <w:t>2</w:t>
      </w:r>
    </w:p>
  </w:footnote>
  <w:footnote w:id="5">
    <w:p w:rsidR="00F95FC4" w:rsidRPr="009A7863" w:rsidRDefault="00F95FC4" w:rsidP="003F1496">
      <w:pPr>
        <w:pStyle w:val="FootnoteText"/>
        <w:rPr>
          <w:rFonts w:ascii="Times New Roman" w:hAnsi="Times New Roman" w:cs="Times New Roman"/>
          <w:i/>
          <w:sz w:val="18"/>
          <w:lang w:val="bg-BG"/>
        </w:rPr>
      </w:pPr>
      <w:r w:rsidRPr="009A7863">
        <w:rPr>
          <w:rStyle w:val="FootnoteReference"/>
          <w:rFonts w:ascii="Times New Roman" w:hAnsi="Times New Roman" w:cs="Times New Roman"/>
          <w:i/>
          <w:sz w:val="18"/>
          <w:lang w:val="bg-BG"/>
        </w:rPr>
        <w:footnoteRef/>
      </w:r>
      <w:r w:rsidRPr="009A7863">
        <w:rPr>
          <w:rFonts w:ascii="Times New Roman" w:hAnsi="Times New Roman" w:cs="Times New Roman"/>
          <w:i/>
          <w:sz w:val="18"/>
          <w:lang w:val="bg-BG"/>
        </w:rPr>
        <w:t xml:space="preserve"> В съответствие с чл. 192, </w:t>
      </w:r>
      <w:r>
        <w:rPr>
          <w:rFonts w:ascii="Times New Roman" w:hAnsi="Times New Roman" w:cs="Times New Roman"/>
          <w:i/>
          <w:sz w:val="18"/>
          <w:lang w:val="bg-BG"/>
        </w:rPr>
        <w:t>т</w:t>
      </w:r>
      <w:r w:rsidRPr="009A7863">
        <w:rPr>
          <w:rFonts w:ascii="Times New Roman" w:hAnsi="Times New Roman" w:cs="Times New Roman"/>
          <w:i/>
          <w:sz w:val="18"/>
          <w:lang w:val="bg-BG"/>
        </w:rPr>
        <w:t xml:space="preserve">. 2 от Регламент (ЕС, ЕВРАТОМ) № 2018/1046 г. </w:t>
      </w:r>
      <w:r w:rsidRPr="00A92E00">
        <w:rPr>
          <w:rFonts w:ascii="Times New Roman" w:hAnsi="Times New Roman" w:cs="Times New Roman"/>
          <w:bCs/>
          <w:i/>
          <w:sz w:val="18"/>
          <w:lang w:val="bg-BG"/>
        </w:rPr>
        <w:t>печалбата се определя като излишък, изчислен при плащането на окончателното салдо, на приходите спрямо допустимите разходи на действието или работната програма, при което приходите се ограничават до безвъзмездните средства от Съюза и постъпленията от това действие или работна програма</w:t>
      </w:r>
      <w:r w:rsidRPr="009A7863">
        <w:rPr>
          <w:rFonts w:ascii="Times New Roman" w:hAnsi="Times New Roman" w:cs="Times New Roman"/>
          <w:i/>
          <w:sz w:val="18"/>
          <w:lang w:val="bg-BG"/>
        </w:rPr>
        <w:t>.</w:t>
      </w:r>
    </w:p>
  </w:footnote>
  <w:footnote w:id="6">
    <w:p w:rsidR="00F95FC4" w:rsidRPr="00D75BC5" w:rsidRDefault="00F95FC4" w:rsidP="00323EEA">
      <w:pPr>
        <w:pStyle w:val="FootnoteText"/>
        <w:rPr>
          <w:rFonts w:ascii="Times New Roman" w:hAnsi="Times New Roman" w:cs="Times New Roman"/>
          <w:i/>
          <w:sz w:val="18"/>
          <w:lang w:val="en-US"/>
        </w:rPr>
      </w:pPr>
      <w:r w:rsidRPr="00527D95">
        <w:rPr>
          <w:rStyle w:val="FootnoteReference"/>
          <w:i/>
          <w:sz w:val="18"/>
        </w:rPr>
        <w:footnoteRef/>
      </w:r>
      <w:r w:rsidRPr="00527D95">
        <w:rPr>
          <w:i/>
          <w:sz w:val="18"/>
        </w:rPr>
        <w:t xml:space="preserve"> </w:t>
      </w:r>
      <w:r w:rsidRPr="00D75BC5">
        <w:rPr>
          <w:rFonts w:ascii="Times New Roman" w:hAnsi="Times New Roman" w:cs="Times New Roman"/>
          <w:i/>
          <w:sz w:val="18"/>
        </w:rPr>
        <w:t>Съгласно</w:t>
      </w:r>
      <w:r w:rsidRPr="00D75BC5">
        <w:rPr>
          <w:rFonts w:ascii="Times New Roman" w:hAnsi="Times New Roman" w:cs="Times New Roman"/>
          <w:i/>
          <w:sz w:val="18"/>
          <w:lang w:val="en-US"/>
        </w:rPr>
        <w:t xml:space="preserve"> </w:t>
      </w:r>
      <w:r w:rsidRPr="00D75BC5">
        <w:rPr>
          <w:rFonts w:ascii="Times New Roman" w:hAnsi="Times New Roman" w:cs="Times New Roman"/>
          <w:i/>
          <w:sz w:val="18"/>
        </w:rPr>
        <w:t xml:space="preserve">определението, дадено в Приложение </w:t>
      </w:r>
      <w:r>
        <w:rPr>
          <w:rFonts w:ascii="Times New Roman" w:hAnsi="Times New Roman" w:cs="Times New Roman"/>
          <w:i/>
          <w:sz w:val="18"/>
          <w:lang w:val="bg-BG"/>
        </w:rPr>
        <w:t>6</w:t>
      </w:r>
      <w:r w:rsidRPr="00D75BC5">
        <w:rPr>
          <w:rFonts w:ascii="Times New Roman" w:hAnsi="Times New Roman" w:cs="Times New Roman"/>
          <w:i/>
          <w:sz w:val="18"/>
        </w:rPr>
        <w:t xml:space="preserve"> към Условията за кандидатстване, и Регламент (ЕС) 2020/852 на Европейския парламент и на Съвета от 18 юни 2020 година за създаване на рамка за улесняване на устойчивите инвестиции и за изменение на Регламент (ЕС) 2019/2088 (Регламента за таксономията).</w:t>
      </w:r>
    </w:p>
  </w:footnote>
  <w:footnote w:id="7">
    <w:p w:rsidR="00F95FC4" w:rsidRPr="004A3427" w:rsidRDefault="00F95FC4" w:rsidP="008D17C2">
      <w:pPr>
        <w:pStyle w:val="FootnoteText"/>
        <w:rPr>
          <w:rFonts w:ascii="Times New Roman" w:hAnsi="Times New Roman" w:cs="Times New Roman"/>
          <w:i/>
          <w:sz w:val="18"/>
          <w:lang w:val="bg-BG"/>
        </w:rPr>
      </w:pPr>
      <w:r w:rsidRPr="004A3427">
        <w:rPr>
          <w:rStyle w:val="FootnoteReference"/>
          <w:rFonts w:ascii="Times New Roman" w:hAnsi="Times New Roman" w:cs="Times New Roman"/>
          <w:i/>
          <w:sz w:val="18"/>
          <w:lang w:val="bg-BG"/>
        </w:rPr>
        <w:footnoteRef/>
      </w:r>
      <w:r w:rsidRPr="004A3427">
        <w:rPr>
          <w:rFonts w:ascii="Times New Roman" w:hAnsi="Times New Roman" w:cs="Times New Roman"/>
          <w:i/>
          <w:sz w:val="18"/>
          <w:lang w:val="bg-BG"/>
        </w:rPr>
        <w:t xml:space="preserve"> За целите на настоящите Условия под „лице, което е официален представляващ на кандидата и е вписан като такъв в ТР и Регистъра на ЮЛНЦ“ следва да се разбира официален представител на предприятието, който е вписан като такъв в ТР и Регистъра на ЮЛНЦ</w:t>
      </w:r>
    </w:p>
  </w:footnote>
  <w:footnote w:id="8">
    <w:p w:rsidR="00F95FC4" w:rsidRPr="009A35B9" w:rsidRDefault="00F95FC4" w:rsidP="008D17C2">
      <w:pPr>
        <w:pStyle w:val="FootnoteText"/>
        <w:ind w:hanging="198"/>
        <w:rPr>
          <w:rFonts w:ascii="Times New Roman" w:hAnsi="Times New Roman" w:cs="Times New Roman"/>
          <w:i/>
          <w:sz w:val="18"/>
          <w:lang w:val="bg-BG"/>
        </w:rPr>
      </w:pPr>
      <w:r w:rsidRPr="009A35B9">
        <w:rPr>
          <w:rStyle w:val="FootnoteReference"/>
          <w:rFonts w:ascii="Times New Roman" w:hAnsi="Times New Roman" w:cs="Times New Roman"/>
          <w:i/>
          <w:sz w:val="18"/>
          <w:lang w:val="bg-BG"/>
        </w:rPr>
        <w:footnoteRef/>
      </w:r>
      <w:r w:rsidRPr="009A35B9">
        <w:rPr>
          <w:rFonts w:ascii="Times New Roman" w:hAnsi="Times New Roman" w:cs="Times New Roman"/>
          <w:i/>
          <w:sz w:val="18"/>
          <w:lang w:val="bg-BG"/>
        </w:rPr>
        <w:t xml:space="preserve"> Валиден КЕП е КЕП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C4" w:rsidRDefault="00F95FC4">
    <w:pPr>
      <w:pStyle w:val="Stext"/>
      <w:framePr w:wrap="around" w:vAnchor="text" w:hAnchor="margin" w:xAlign="center" w:y="1"/>
    </w:pPr>
    <w:r>
      <w:rPr>
        <w:noProof/>
        <w:lang w:val="bg-BG" w:eastAsia="bg-BG"/>
      </w:rPr>
      <mc:AlternateContent>
        <mc:Choice Requires="wps">
          <w:drawing>
            <wp:anchor distT="0" distB="0" distL="0" distR="0" simplePos="0" relativeHeight="251658243" behindDoc="0" locked="0" layoutInCell="1" allowOverlap="1" wp14:anchorId="0454EFF5" wp14:editId="49864439">
              <wp:simplePos x="635" y="635"/>
              <wp:positionH relativeFrom="page">
                <wp:align>right</wp:align>
              </wp:positionH>
              <wp:positionV relativeFrom="page">
                <wp:align>top</wp:align>
              </wp:positionV>
              <wp:extent cx="535305" cy="345440"/>
              <wp:effectExtent l="0" t="0" r="0" b="16510"/>
              <wp:wrapNone/>
              <wp:docPr id="1614661218" name="Text Box 2" descr="Open">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35305" cy="345440"/>
                      </a:xfrm>
                      <a:prstGeom prst="rect">
                        <a:avLst/>
                      </a:prstGeom>
                      <a:noFill/>
                      <a:ln>
                        <a:noFill/>
                      </a:ln>
                    </wps:spPr>
                    <wps:txbx>
                      <w:txbxContent>
                        <w:p w:rsidR="00F95FC4" w:rsidRPr="007706FF" w:rsidRDefault="00F95FC4" w:rsidP="007706FF">
                          <w:pPr>
                            <w:rPr>
                              <w:rFonts w:ascii="Calibri" w:eastAsia="Calibri" w:hAnsi="Calibri" w:cs="Calibri"/>
                              <w:noProof/>
                              <w:color w:val="000000"/>
                              <w:sz w:val="20"/>
                              <w:szCs w:val="20"/>
                            </w:rPr>
                          </w:pPr>
                          <w:r w:rsidRPr="007706FF">
                            <w:rPr>
                              <w:rFonts w:ascii="Calibri" w:eastAsia="Calibri" w:hAnsi="Calibri" w:cs="Calibri"/>
                              <w:noProof/>
                              <w:color w:val="000000"/>
                              <w:sz w:val="20"/>
                              <w:szCs w:val="20"/>
                            </w:rPr>
                            <w:t>Open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454EFF5" id="_x0000_t202" coordsize="21600,21600" o:spt="202" path="m,l,21600r21600,l21600,xe">
              <v:stroke joinstyle="miter"/>
              <v:path gradientshapeok="t" o:connecttype="rect"/>
            </v:shapetype>
            <v:shape id="Text Box 2" o:spid="_x0000_s1026" type="#_x0000_t202" alt="Open" style="position:absolute;left:0;text-align:left;margin-left:-9.05pt;margin-top:0;width:42.15pt;height:27.2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L0bgIAAKoEAAAOAAAAZHJzL2Uyb0RvYy54bWysVE1v2zAMvQ/YfxB0T/0RO22DOoWb1MOA&#10;oi3QDj0rspwYsCVBUmt3w/77nuSk27qdhl1kiqTIx0fSF5dj35EXYWyrZEGTk5gSIbmqW7kr6JfH&#10;anZGiXVM1qxTUhT0VVh6ufr44WLQS5GqvepqYQiCSLscdEH3zullFFm+Fz2zJ0oLCWOjTM8crmYX&#10;1YYNiN53URrHi2hQptZGcWEttJvJSFchftMI7u6axgpHuoICmwunCefWn9Hqgi13hul9yw8w2D+g&#10;6FkrkfQt1IY5Rp5N+0eovuVGWdW4E676SDVNy0WoAdUk8btqHvZMi1ALyLH6jSb7/8Ly25d7Q9oa&#10;vVsk2WKRpAk6JlmPXj2K0ZErNZKUklpYDtru0I9QJ0w31vmKvVOo9FteXmdJVaazdVxVsyw7jWfn&#10;V5tsllflZl2ena6vrtPvnvEovArvo0HbZQDhWxbEBw1EbkRigPLuXm+h9NnGxvT+C+YI7Gjp61sb&#10;PRIOZT7P53FOCYdpnuVZFtqMpMfH2lj3SaieeKGgBlMSimIvwDThO7r4XFJVbdeFSenkbwrE9JpQ&#10;xITQY3XjdjzA3qr6FdUYNQ2e1bxqkfOGWXfPDCYNBWB73B2OplNDQdVBomSvzNe/6b0/BgBWSgZM&#10;bkElVouS7rPEYPghD0JyHucxbibc0jyL/W17dJLP/VphKRLsp+ZB9M6uO4qNUf0Tlqv02WBikiNn&#10;Qd1RXLtpj7CcXJRlcMJQa+Zu5IPmPrQnyzP5OD4xow90O/TpVh1nmy3fsT75+pdWl88O3IeWeGIn&#10;Ng98YyHCJB2W12/cr/fg9fMXs/oBAAD//wMAUEsDBBQABgAIAAAAIQC0VwqS3AAAAAMBAAAPAAAA&#10;ZHJzL2Rvd25yZXYueG1sTI9BS8QwEIXvgv8hjOBF3FS3Sq1NFxEW3IMHV3vwljazbbGZlCTbbf+9&#10;oxe9DDze471vis1sBzGhD70jBTerBARS40xPrYKP9+11BiJETUYPjlDBggE25flZoXPjTvSG0z62&#10;gkso5FpBF+OYSxmaDq0OKzcisXdw3urI0rfSeH3icjvI2yS5l1b3xAudHvG5w+Zrf7QKqtlfvW4f&#10;di9L/dlPS7Kr1tmhUuryYn56BBFxjn9h+MFndCiZqXZHMkEMCviR+HvZy9I1iFrBXZqCLAv5n738&#10;BgAA//8DAFBLAQItABQABgAIAAAAIQC2gziS/gAAAOEBAAATAAAAAAAAAAAAAAAAAAAAAABbQ29u&#10;dGVudF9UeXBlc10ueG1sUEsBAi0AFAAGAAgAAAAhADj9If/WAAAAlAEAAAsAAAAAAAAAAAAAAAAA&#10;LwEAAF9yZWxzLy5yZWxzUEsBAi0AFAAGAAgAAAAhAJxAovRuAgAAqgQAAA4AAAAAAAAAAAAAAAAA&#10;LgIAAGRycy9lMm9Eb2MueG1sUEsBAi0AFAAGAAgAAAAhALRXCpLcAAAAAwEAAA8AAAAAAAAAAAAA&#10;AAAAyAQAAGRycy9kb3ducmV2LnhtbFBLBQYAAAAABAAEAPMAAADRBQAAAAA=&#10;" filled="f" stroked="f">
              <v:textbox style="mso-fit-shape-to-text:t" inset="0,15pt,20pt,0">
                <w:txbxContent>
                  <w:p w:rsidR="00F95FC4" w:rsidRPr="007706FF" w:rsidRDefault="00F95FC4" w:rsidP="007706FF">
                    <w:pPr>
                      <w:rPr>
                        <w:rFonts w:ascii="Calibri" w:eastAsia="Calibri" w:hAnsi="Calibri" w:cs="Calibri"/>
                        <w:noProof/>
                        <w:color w:val="000000"/>
                        <w:sz w:val="20"/>
                        <w:szCs w:val="20"/>
                      </w:rPr>
                    </w:pPr>
                    <w:r w:rsidRPr="007706FF">
                      <w:rPr>
                        <w:rFonts w:ascii="Calibri" w:eastAsia="Calibri" w:hAnsi="Calibri" w:cs="Calibri"/>
                        <w:noProof/>
                        <w:color w:val="000000"/>
                        <w:sz w:val="20"/>
                        <w:szCs w:val="20"/>
                      </w:rPr>
                      <w:t>Open</w:t>
                    </w:r>
                  </w:p>
                </w:txbxContent>
              </v:textbox>
              <w10:wrap anchorx="page" anchory="page"/>
            </v:shape>
          </w:pict>
        </mc:Fallback>
      </mc:AlternateContent>
    </w:r>
    <w:r>
      <w:fldChar w:fldCharType="begin"/>
    </w:r>
    <w:r>
      <w:instrText xml:space="preserve">PAGE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3285"/>
      <w:gridCol w:w="3170"/>
    </w:tblGrid>
    <w:tr w:rsidR="00F95FC4" w:rsidRPr="00272461" w:rsidTr="00BF3C7E">
      <w:trPr>
        <w:trHeight w:val="1977"/>
      </w:trPr>
      <w:tc>
        <w:tcPr>
          <w:tcW w:w="2867" w:type="dxa"/>
        </w:tcPr>
        <w:p w:rsidR="00F95FC4" w:rsidRDefault="00F95FC4" w:rsidP="00607D3C">
          <w:pPr>
            <w:tabs>
              <w:tab w:val="center" w:pos="4153"/>
              <w:tab w:val="right" w:pos="9356"/>
            </w:tabs>
            <w:jc w:val="center"/>
            <w:rPr>
              <w:rFonts w:ascii="Arial" w:hAnsi="Arial" w:cs="Arial"/>
              <w:b/>
              <w:color w:val="31849B" w:themeColor="accent5" w:themeShade="BF"/>
            </w:rPr>
          </w:pPr>
          <w:r>
            <w:rPr>
              <w:noProof/>
            </w:rPr>
            <w:drawing>
              <wp:anchor distT="0" distB="0" distL="114300" distR="114300" simplePos="0" relativeHeight="251663364" behindDoc="0" locked="0" layoutInCell="1" allowOverlap="1" wp14:anchorId="3EF41DB7" wp14:editId="3624DB9C">
                <wp:simplePos x="0" y="0"/>
                <wp:positionH relativeFrom="column">
                  <wp:posOffset>333375</wp:posOffset>
                </wp:positionH>
                <wp:positionV relativeFrom="paragraph">
                  <wp:posOffset>113302</wp:posOffset>
                </wp:positionV>
                <wp:extent cx="1002665" cy="600075"/>
                <wp:effectExtent l="0" t="0" r="6985" b="9525"/>
                <wp:wrapNone/>
                <wp:docPr id="4" name="Picture 4"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1002665" cy="600075"/>
                        </a:xfrm>
                        <a:prstGeom prst="rect">
                          <a:avLst/>
                        </a:prstGeom>
                        <a:noFill/>
                      </pic:spPr>
                    </pic:pic>
                  </a:graphicData>
                </a:graphic>
                <wp14:sizeRelH relativeFrom="page">
                  <wp14:pctWidth>0</wp14:pctWidth>
                </wp14:sizeRelH>
                <wp14:sizeRelV relativeFrom="page">
                  <wp14:pctHeight>0</wp14:pctHeight>
                </wp14:sizeRelV>
              </wp:anchor>
            </w:drawing>
          </w:r>
        </w:p>
        <w:p w:rsidR="00F95FC4" w:rsidRDefault="00F95FC4" w:rsidP="00607D3C">
          <w:pPr>
            <w:tabs>
              <w:tab w:val="center" w:pos="4153"/>
              <w:tab w:val="right" w:pos="9356"/>
            </w:tabs>
            <w:jc w:val="center"/>
            <w:rPr>
              <w:rFonts w:ascii="Arial" w:hAnsi="Arial" w:cs="Arial"/>
              <w:b/>
              <w:color w:val="31849B" w:themeColor="accent5" w:themeShade="BF"/>
            </w:rPr>
          </w:pPr>
        </w:p>
        <w:p w:rsidR="00F95FC4" w:rsidRDefault="00F95FC4" w:rsidP="00607D3C">
          <w:pPr>
            <w:tabs>
              <w:tab w:val="center" w:pos="4153"/>
              <w:tab w:val="right" w:pos="9356"/>
            </w:tabs>
            <w:jc w:val="center"/>
            <w:rPr>
              <w:rFonts w:ascii="Arial" w:hAnsi="Arial" w:cs="Arial"/>
              <w:b/>
              <w:color w:val="31849B" w:themeColor="accent5" w:themeShade="BF"/>
            </w:rPr>
          </w:pPr>
        </w:p>
        <w:p w:rsidR="00F95FC4" w:rsidRDefault="00F95FC4" w:rsidP="00607D3C">
          <w:pPr>
            <w:tabs>
              <w:tab w:val="center" w:pos="4153"/>
              <w:tab w:val="right" w:pos="9356"/>
            </w:tabs>
            <w:jc w:val="center"/>
            <w:rPr>
              <w:rFonts w:ascii="Arial" w:hAnsi="Arial" w:cs="Arial"/>
              <w:b/>
              <w:color w:val="31849B" w:themeColor="accent5" w:themeShade="BF"/>
            </w:rPr>
          </w:pPr>
        </w:p>
        <w:p w:rsidR="00F95FC4" w:rsidRDefault="00F95FC4" w:rsidP="00607D3C">
          <w:pPr>
            <w:tabs>
              <w:tab w:val="center" w:pos="4153"/>
              <w:tab w:val="right" w:pos="9356"/>
            </w:tabs>
            <w:jc w:val="center"/>
            <w:rPr>
              <w:rFonts w:ascii="Arial" w:hAnsi="Arial" w:cs="Arial"/>
              <w:b/>
              <w:color w:val="31849B" w:themeColor="accent5" w:themeShade="BF"/>
            </w:rPr>
          </w:pPr>
        </w:p>
        <w:p w:rsidR="00F95FC4" w:rsidRDefault="00F95FC4" w:rsidP="00607D3C">
          <w:pPr>
            <w:tabs>
              <w:tab w:val="center" w:pos="4153"/>
              <w:tab w:val="right" w:pos="9356"/>
            </w:tabs>
            <w:jc w:val="center"/>
            <w:rPr>
              <w:rFonts w:ascii="Arial" w:hAnsi="Arial" w:cs="Arial"/>
              <w:b/>
              <w:color w:val="31849B" w:themeColor="accent5" w:themeShade="BF"/>
            </w:rPr>
          </w:pPr>
          <w:r>
            <w:rPr>
              <w:noProof/>
            </w:rPr>
            <mc:AlternateContent>
              <mc:Choice Requires="wps">
                <w:drawing>
                  <wp:anchor distT="0" distB="0" distL="0" distR="0" simplePos="0" relativeHeight="251664388" behindDoc="0" locked="0" layoutInCell="1" allowOverlap="1" wp14:anchorId="3F09B940" wp14:editId="7314B453">
                    <wp:simplePos x="969645" y="450850"/>
                    <wp:positionH relativeFrom="page">
                      <wp:align>right</wp:align>
                    </wp:positionH>
                    <wp:positionV relativeFrom="page">
                      <wp:align>top</wp:align>
                    </wp:positionV>
                    <wp:extent cx="535305" cy="345440"/>
                    <wp:effectExtent l="0" t="0" r="0" b="16510"/>
                    <wp:wrapNone/>
                    <wp:docPr id="1733275863" name="Text Box 3" descr="Open">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305" cy="345440"/>
                            </a:xfrm>
                            <a:prstGeom prst="rect">
                              <a:avLst/>
                            </a:prstGeom>
                            <a:noFill/>
                            <a:ln>
                              <a:noFill/>
                            </a:ln>
                          </wps:spPr>
                          <wps:txbx>
                            <w:txbxContent>
                              <w:p w:rsidR="00F95FC4" w:rsidRPr="007706FF" w:rsidRDefault="00F95FC4" w:rsidP="00607D3C">
                                <w:pPr>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F09B940" id="_x0000_t202" coordsize="21600,21600" o:spt="202" path="m,l,21600r21600,l21600,xe">
                    <v:stroke joinstyle="miter"/>
                    <v:path gradientshapeok="t" o:connecttype="rect"/>
                  </v:shapetype>
                  <v:shape id="Text Box 3" o:spid="_x0000_s1027" type="#_x0000_t202" alt="Open" style="position:absolute;left:0;text-align:left;margin-left:-9.05pt;margin-top:0;width:42.15pt;height:27.2pt;z-index:2516643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6FcAIAALEEAAAOAAAAZHJzL2Uyb0RvYy54bWysVMFu2zAMvQ/YPwi6p3YSu0mDOoWT1MOA&#10;oi3QDj0rspwYsCVBUmt3w/59T3Lcbd1Owy4yRVLk4yPpy6u+bciLMLZWMqPTs5gSIbkqa3nI6JfH&#10;YrKkxDomS9YoKTL6Kiy9Wn/8cNnplZipo2pKYQiCSLvqdEaPzulVFFl+FC2zZ0oLCWOlTMscruYQ&#10;lYZ1iN420SyOz6NOmVIbxYW10O4GI12H+FUluLurKiscaTIKbC6cJpx7f0brS7Y6GKaPNT/BYP+A&#10;omW1RNK3UDvmGHk29R+h2pobZVXlzrhqI1VVNRehBlQzjd9V83BkWoRaQI7VbzTZ/xeW377cG1KX&#10;6N1iPp8t0uX5nBLJWvTqUfSObFRPoCmF5aDtDv0IdcJ0Y52v2DuFSr+l+XUyLfLZZBsXxSRJFvHk&#10;YrNLJmmR77b5crHdXM++e8aj8Cq8jzptVwGEb1kQHzQQuR6JAcq7e72F0mfrK9P6L5gjsKOlr29t&#10;9Eg4lOk8nccpJRymeZImSWgzko6PtbHuk1At8UJGDaYkFMVegGnAN7r4XFIVddOESWnkbwrE9JpQ&#10;xIDQY3X9vh8oHdHvVfmKoowa5s9qXtRIfcOsu2cGA4c6sETuDkfVqC6j6iRRclTm69/03h9zACsl&#10;HQY4oxIbRknzWWI+/KwHYXoRpzFuJtxmaRL72350ks/tVmE3plhTzYPonV0zipVR7RN2LPfZYGKS&#10;I2dG3Shu3bBO2FEu8jw4YbY1czfyQXMf2nPmCX3sn5jRJ9Yd2nWrxhFnq3fkD77+pdX5s0MLQmc8&#10;vwObJ9qxF2GgTjvsF+/Xe/D6+adZ/wAAAP//AwBQSwMEFAAGAAgAAAAhALRXCpLcAAAAAwEAAA8A&#10;AABkcnMvZG93bnJldi54bWxMj0FLxDAQhe+C/yGM4EXcVLdKrU0XERbcgwdXe/CWNrNtsZmUJNtt&#10;/72jF70MPN7jvW+KzWwHMaEPvSMFN6sEBFLjTE+tgo/37XUGIkRNRg+OUMGCATbl+Vmhc+NO9IbT&#10;PraCSyjkWkEX45hLGZoOrQ4rNyKxd3De6sjSt9J4feJyO8jbJLmXVvfEC50e8bnD5mt/tAqq2V+9&#10;bh92L0v92U9LsqvW2aFS6vJifnoEEXGOf2H4wWd0KJmpdkcyQQwK+JH4e9nL0jWIWsFdmoIsC/mf&#10;vfwGAAD//wMAUEsBAi0AFAAGAAgAAAAhALaDOJL+AAAA4QEAABMAAAAAAAAAAAAAAAAAAAAAAFtD&#10;b250ZW50X1R5cGVzXS54bWxQSwECLQAUAAYACAAAACEAOP0h/9YAAACUAQAACwAAAAAAAAAAAAAA&#10;AAAvAQAAX3JlbHMvLnJlbHNQSwECLQAUAAYACAAAACEAM4YOhXACAACxBAAADgAAAAAAAAAAAAAA&#10;AAAuAgAAZHJzL2Uyb0RvYy54bWxQSwECLQAUAAYACAAAACEAtFcKktwAAAADAQAADwAAAAAAAAAA&#10;AAAAAADKBAAAZHJzL2Rvd25yZXYueG1sUEsFBgAAAAAEAAQA8wAAANMFAAAAAA==&#10;" filled="f" stroked="f">
                    <v:textbox style="mso-fit-shape-to-text:t" inset="0,15pt,20pt,0">
                      <w:txbxContent>
                        <w:p w:rsidR="00F95FC4" w:rsidRPr="007706FF" w:rsidRDefault="00F95FC4" w:rsidP="00607D3C">
                          <w:pPr>
                            <w:rPr>
                              <w:rFonts w:ascii="Calibri" w:eastAsia="Calibri" w:hAnsi="Calibri" w:cs="Calibri"/>
                              <w:noProof/>
                              <w:color w:val="000000"/>
                              <w:sz w:val="20"/>
                              <w:szCs w:val="20"/>
                            </w:rPr>
                          </w:pPr>
                        </w:p>
                      </w:txbxContent>
                    </v:textbox>
                    <w10:wrap anchorx="page" anchory="page"/>
                  </v:shape>
                </w:pict>
              </mc:Fallback>
            </mc:AlternateContent>
          </w:r>
          <w:r w:rsidRPr="00272461">
            <w:rPr>
              <w:rFonts w:ascii="Arial" w:hAnsi="Arial" w:cs="Arial"/>
              <w:b/>
              <w:color w:val="31849B" w:themeColor="accent5" w:themeShade="BF"/>
            </w:rPr>
            <w:t xml:space="preserve">Финансирано от </w:t>
          </w:r>
        </w:p>
        <w:p w:rsidR="00F95FC4" w:rsidRPr="00272461" w:rsidRDefault="00F95FC4" w:rsidP="00607D3C">
          <w:pPr>
            <w:tabs>
              <w:tab w:val="center" w:pos="4153"/>
              <w:tab w:val="right" w:pos="9356"/>
            </w:tabs>
            <w:jc w:val="center"/>
            <w:rPr>
              <w:rFonts w:ascii="Arial" w:hAnsi="Arial" w:cs="Arial"/>
              <w:b/>
            </w:rPr>
          </w:pPr>
          <w:r w:rsidRPr="00272461">
            <w:rPr>
              <w:rFonts w:ascii="Arial" w:hAnsi="Arial" w:cs="Arial"/>
              <w:b/>
              <w:color w:val="31849B" w:themeColor="accent5" w:themeShade="BF"/>
            </w:rPr>
            <w:t>Европейския съюз</w:t>
          </w:r>
        </w:p>
        <w:p w:rsidR="00F95FC4" w:rsidRPr="001F5BA1" w:rsidRDefault="00F95FC4" w:rsidP="00607D3C">
          <w:pPr>
            <w:tabs>
              <w:tab w:val="center" w:pos="4153"/>
              <w:tab w:val="right" w:pos="9356"/>
            </w:tabs>
            <w:jc w:val="center"/>
            <w:rPr>
              <w:rFonts w:ascii="Candara" w:hAnsi="Candara" w:cs="Calibri"/>
              <w:b/>
              <w:bCs/>
              <w:snapToGrid w:val="0"/>
            </w:rPr>
          </w:pPr>
          <w:r w:rsidRPr="00272461">
            <w:rPr>
              <w:rFonts w:ascii="Candara" w:hAnsi="Candara" w:cs="Calibri"/>
              <w:b/>
              <w:bCs/>
              <w:snapToGrid w:val="0"/>
              <w:color w:val="17365D" w:themeColor="text2" w:themeShade="BF"/>
            </w:rPr>
            <w:t>Следващо</w:t>
          </w:r>
          <w:r>
            <w:rPr>
              <w:rFonts w:ascii="Candara" w:hAnsi="Candara" w:cs="Calibri"/>
              <w:b/>
              <w:bCs/>
              <w:snapToGrid w:val="0"/>
              <w:color w:val="17365D" w:themeColor="text2" w:themeShade="BF"/>
              <w:lang w:val="en-US"/>
            </w:rPr>
            <w:t xml:space="preserve"> </w:t>
          </w:r>
          <w:r w:rsidRPr="00272461">
            <w:rPr>
              <w:rFonts w:ascii="Candara" w:hAnsi="Candara" w:cs="Calibri"/>
              <w:b/>
              <w:bCs/>
              <w:snapToGrid w:val="0"/>
              <w:color w:val="17365D" w:themeColor="text2" w:themeShade="BF"/>
            </w:rPr>
            <w:t>Поколение</w:t>
          </w:r>
          <w:r>
            <w:rPr>
              <w:rFonts w:ascii="Candara" w:hAnsi="Candara" w:cs="Calibri"/>
              <w:b/>
              <w:bCs/>
              <w:snapToGrid w:val="0"/>
              <w:color w:val="17365D" w:themeColor="text2" w:themeShade="BF"/>
              <w:lang w:val="en-US"/>
            </w:rPr>
            <w:t xml:space="preserve"> </w:t>
          </w:r>
          <w:r w:rsidRPr="00272461">
            <w:rPr>
              <w:rFonts w:ascii="Candara" w:hAnsi="Candara" w:cs="Calibri"/>
              <w:b/>
              <w:bCs/>
              <w:snapToGrid w:val="0"/>
              <w:color w:val="17365D" w:themeColor="text2" w:themeShade="BF"/>
            </w:rPr>
            <w:t>ЕС</w:t>
          </w:r>
        </w:p>
      </w:tc>
      <w:tc>
        <w:tcPr>
          <w:tcW w:w="3285" w:type="dxa"/>
        </w:tcPr>
        <w:p w:rsidR="00F95FC4" w:rsidRDefault="00F95FC4" w:rsidP="00607D3C">
          <w:pPr>
            <w:spacing w:before="120" w:after="120"/>
            <w:jc w:val="center"/>
            <w:rPr>
              <w:rFonts w:ascii="Arial" w:hAnsi="Arial" w:cs="Arial"/>
              <w:b/>
              <w:bCs/>
            </w:rPr>
          </w:pPr>
          <w:r w:rsidRPr="00987542">
            <w:rPr>
              <w:noProof/>
            </w:rPr>
            <w:drawing>
              <wp:inline distT="0" distB="0" distL="0" distR="0" wp14:anchorId="7C56B974" wp14:editId="26158729">
                <wp:extent cx="686548" cy="60802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210" cy="638724"/>
                        </a:xfrm>
                        <a:prstGeom prst="rect">
                          <a:avLst/>
                        </a:prstGeom>
                        <a:noFill/>
                        <a:ln>
                          <a:noFill/>
                        </a:ln>
                      </pic:spPr>
                    </pic:pic>
                  </a:graphicData>
                </a:graphic>
              </wp:inline>
            </w:drawing>
          </w:r>
        </w:p>
        <w:p w:rsidR="00F95FC4" w:rsidRPr="00272461" w:rsidRDefault="00F95FC4" w:rsidP="00607D3C">
          <w:pPr>
            <w:spacing w:before="120" w:after="120"/>
            <w:jc w:val="center"/>
            <w:rPr>
              <w:rFonts w:ascii="Arial" w:hAnsi="Arial" w:cs="Arial"/>
              <w:snapToGrid w:val="0"/>
            </w:rPr>
          </w:pPr>
          <w:r w:rsidRPr="00272461">
            <w:rPr>
              <w:rFonts w:ascii="Arial" w:hAnsi="Arial" w:cs="Arial"/>
              <w:b/>
              <w:bCs/>
            </w:rPr>
            <w:t>План за възстановяване и устойчивост</w:t>
          </w:r>
        </w:p>
      </w:tc>
      <w:tc>
        <w:tcPr>
          <w:tcW w:w="3170" w:type="dxa"/>
        </w:tcPr>
        <w:p w:rsidR="00F95FC4" w:rsidRDefault="00F95FC4" w:rsidP="00607D3C">
          <w:pPr>
            <w:tabs>
              <w:tab w:val="center" w:pos="4153"/>
              <w:tab w:val="right" w:pos="9356"/>
            </w:tabs>
            <w:jc w:val="center"/>
          </w:pPr>
          <w:r>
            <w:object w:dxaOrig="1716" w:dyaOrig="1356" w14:anchorId="22EEF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49.45pt">
                <v:imagedata r:id="rId3" o:title=""/>
              </v:shape>
              <o:OLEObject Type="Embed" ProgID="PBrush" ShapeID="_x0000_i1025" DrawAspect="Content" ObjectID="_1794728260" r:id="rId4"/>
            </w:object>
          </w:r>
        </w:p>
        <w:p w:rsidR="00F95FC4" w:rsidRPr="00272461" w:rsidRDefault="00F95FC4" w:rsidP="00607D3C">
          <w:pPr>
            <w:tabs>
              <w:tab w:val="center" w:pos="4153"/>
              <w:tab w:val="right" w:pos="9356"/>
            </w:tabs>
            <w:jc w:val="both"/>
            <w:rPr>
              <w:rFonts w:ascii="Arial" w:hAnsi="Arial" w:cs="Arial"/>
              <w:b/>
              <w:bCs/>
              <w:snapToGrid w:val="0"/>
            </w:rPr>
          </w:pPr>
          <w:r>
            <w:object w:dxaOrig="4080" w:dyaOrig="1248" w14:anchorId="44C5E074">
              <v:shape id="_x0000_i1026" type="#_x0000_t75" style="width:147.7pt;height:45.2pt">
                <v:imagedata r:id="rId5" o:title=""/>
              </v:shape>
              <o:OLEObject Type="Embed" ProgID="PBrush" ShapeID="_x0000_i1026" DrawAspect="Content" ObjectID="_1794728261" r:id="rId6"/>
            </w:object>
          </w:r>
          <w:r>
            <w:rPr>
              <w:rFonts w:ascii="Arial" w:hAnsi="Arial" w:cs="Arial"/>
              <w:b/>
              <w:bCs/>
              <w:snapToGrid w:val="0"/>
              <w:lang w:val="en-US"/>
            </w:rPr>
            <w:t xml:space="preserve"> </w:t>
          </w:r>
        </w:p>
      </w:tc>
    </w:tr>
  </w:tbl>
  <w:p w:rsidR="00F95FC4" w:rsidRPr="00835668" w:rsidRDefault="00F95FC4" w:rsidP="00607D3C">
    <w:pPr>
      <w:pStyle w:val="Snumberofpages"/>
      <w:jc w:val="left"/>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3285"/>
      <w:gridCol w:w="3170"/>
    </w:tblGrid>
    <w:tr w:rsidR="00F95FC4" w:rsidRPr="00272461" w:rsidTr="00BF3C7E">
      <w:trPr>
        <w:trHeight w:val="1977"/>
      </w:trPr>
      <w:tc>
        <w:tcPr>
          <w:tcW w:w="2867" w:type="dxa"/>
        </w:tcPr>
        <w:p w:rsidR="00F95FC4" w:rsidRDefault="00F95FC4" w:rsidP="00EA4240">
          <w:pPr>
            <w:tabs>
              <w:tab w:val="center" w:pos="4153"/>
              <w:tab w:val="right" w:pos="9356"/>
            </w:tabs>
            <w:jc w:val="center"/>
            <w:rPr>
              <w:rFonts w:ascii="Arial" w:hAnsi="Arial" w:cs="Arial"/>
              <w:b/>
              <w:color w:val="31849B" w:themeColor="accent5" w:themeShade="BF"/>
            </w:rPr>
          </w:pPr>
          <w:r>
            <w:rPr>
              <w:noProof/>
            </w:rPr>
            <w:drawing>
              <wp:anchor distT="0" distB="0" distL="114300" distR="114300" simplePos="0" relativeHeight="251660292" behindDoc="0" locked="0" layoutInCell="1" allowOverlap="1" wp14:anchorId="7640AE69" wp14:editId="2A6FDE0B">
                <wp:simplePos x="0" y="0"/>
                <wp:positionH relativeFrom="column">
                  <wp:posOffset>333375</wp:posOffset>
                </wp:positionH>
                <wp:positionV relativeFrom="paragraph">
                  <wp:posOffset>113302</wp:posOffset>
                </wp:positionV>
                <wp:extent cx="1002665" cy="600075"/>
                <wp:effectExtent l="0" t="0" r="6985" b="9525"/>
                <wp:wrapNone/>
                <wp:docPr id="27" name="Picture 27"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1002665" cy="600075"/>
                        </a:xfrm>
                        <a:prstGeom prst="rect">
                          <a:avLst/>
                        </a:prstGeom>
                        <a:noFill/>
                      </pic:spPr>
                    </pic:pic>
                  </a:graphicData>
                </a:graphic>
                <wp14:sizeRelH relativeFrom="page">
                  <wp14:pctWidth>0</wp14:pctWidth>
                </wp14:sizeRelH>
                <wp14:sizeRelV relativeFrom="page">
                  <wp14:pctHeight>0</wp14:pctHeight>
                </wp14:sizeRelV>
              </wp:anchor>
            </w:drawing>
          </w:r>
        </w:p>
        <w:p w:rsidR="00F95FC4" w:rsidRDefault="00F95FC4" w:rsidP="00EA4240">
          <w:pPr>
            <w:tabs>
              <w:tab w:val="center" w:pos="4153"/>
              <w:tab w:val="right" w:pos="9356"/>
            </w:tabs>
            <w:jc w:val="center"/>
            <w:rPr>
              <w:rFonts w:ascii="Arial" w:hAnsi="Arial" w:cs="Arial"/>
              <w:b/>
              <w:color w:val="31849B" w:themeColor="accent5" w:themeShade="BF"/>
            </w:rPr>
          </w:pPr>
        </w:p>
        <w:p w:rsidR="00F95FC4" w:rsidRDefault="00F95FC4" w:rsidP="00EA4240">
          <w:pPr>
            <w:tabs>
              <w:tab w:val="center" w:pos="4153"/>
              <w:tab w:val="right" w:pos="9356"/>
            </w:tabs>
            <w:jc w:val="center"/>
            <w:rPr>
              <w:rFonts w:ascii="Arial" w:hAnsi="Arial" w:cs="Arial"/>
              <w:b/>
              <w:color w:val="31849B" w:themeColor="accent5" w:themeShade="BF"/>
            </w:rPr>
          </w:pPr>
        </w:p>
        <w:p w:rsidR="00F95FC4" w:rsidRDefault="00F95FC4" w:rsidP="00EA4240">
          <w:pPr>
            <w:tabs>
              <w:tab w:val="center" w:pos="4153"/>
              <w:tab w:val="right" w:pos="9356"/>
            </w:tabs>
            <w:jc w:val="center"/>
            <w:rPr>
              <w:rFonts w:ascii="Arial" w:hAnsi="Arial" w:cs="Arial"/>
              <w:b/>
              <w:color w:val="31849B" w:themeColor="accent5" w:themeShade="BF"/>
            </w:rPr>
          </w:pPr>
        </w:p>
        <w:p w:rsidR="00F95FC4" w:rsidRDefault="00F95FC4" w:rsidP="00EA4240">
          <w:pPr>
            <w:tabs>
              <w:tab w:val="center" w:pos="4153"/>
              <w:tab w:val="right" w:pos="9356"/>
            </w:tabs>
            <w:jc w:val="center"/>
            <w:rPr>
              <w:rFonts w:ascii="Arial" w:hAnsi="Arial" w:cs="Arial"/>
              <w:b/>
              <w:color w:val="31849B" w:themeColor="accent5" w:themeShade="BF"/>
            </w:rPr>
          </w:pPr>
        </w:p>
        <w:p w:rsidR="00F95FC4" w:rsidRDefault="00F95FC4" w:rsidP="00EA4240">
          <w:pPr>
            <w:tabs>
              <w:tab w:val="center" w:pos="4153"/>
              <w:tab w:val="right" w:pos="9356"/>
            </w:tabs>
            <w:jc w:val="center"/>
            <w:rPr>
              <w:rFonts w:ascii="Arial" w:hAnsi="Arial" w:cs="Arial"/>
              <w:b/>
              <w:color w:val="31849B" w:themeColor="accent5" w:themeShade="BF"/>
            </w:rPr>
          </w:pPr>
          <w:r>
            <w:rPr>
              <w:noProof/>
            </w:rPr>
            <mc:AlternateContent>
              <mc:Choice Requires="wps">
                <w:drawing>
                  <wp:anchor distT="0" distB="0" distL="0" distR="0" simplePos="0" relativeHeight="251661316" behindDoc="0" locked="0" layoutInCell="1" allowOverlap="1" wp14:anchorId="20A6150E" wp14:editId="1E827163">
                    <wp:simplePos x="969645" y="450850"/>
                    <wp:positionH relativeFrom="page">
                      <wp:align>right</wp:align>
                    </wp:positionH>
                    <wp:positionV relativeFrom="page">
                      <wp:align>top</wp:align>
                    </wp:positionV>
                    <wp:extent cx="535305" cy="345440"/>
                    <wp:effectExtent l="0" t="0" r="0" b="16510"/>
                    <wp:wrapNone/>
                    <wp:docPr id="3" name="Text Box 3" descr="Open">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305" cy="345440"/>
                            </a:xfrm>
                            <a:prstGeom prst="rect">
                              <a:avLst/>
                            </a:prstGeom>
                            <a:noFill/>
                            <a:ln>
                              <a:noFill/>
                            </a:ln>
                          </wps:spPr>
                          <wps:txbx>
                            <w:txbxContent>
                              <w:p w:rsidR="00F95FC4" w:rsidRPr="007706FF" w:rsidRDefault="00F95FC4" w:rsidP="00EA4240">
                                <w:pPr>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0A6150E" id="_x0000_t202" coordsize="21600,21600" o:spt="202" path="m,l,21600r21600,l21600,xe">
                    <v:stroke joinstyle="miter"/>
                    <v:path gradientshapeok="t" o:connecttype="rect"/>
                  </v:shapetype>
                  <v:shape id="_x0000_s1028" type="#_x0000_t202" alt="Open" style="position:absolute;left:0;text-align:left;margin-left:-9.05pt;margin-top:0;width:42.15pt;height:27.2pt;z-index:2516613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ceaQIAAKgEAAAOAAAAZHJzL2Uyb0RvYy54bWysVE2P2jAQvVfqf7B8hwRIuruIsAqwqSqh&#10;ZSWo9mwcByIltmUbElr1v++MQ2i77anqxRnPjOfjzZvMHtu6ImdhbKlkQkfDkBIhucpLeUjo1102&#10;uKfEOiZzVikpEnoRlj7OP36YNXoqxuqoqlwYAkGknTY6oUfn9DQILD+Kmtmh0kKCsVCmZg6u5hDk&#10;hjUQva6CcRh+Chplcm0UF9aCdtUZ6dzHLwrB3aYorHCkSijU5vxp/LnHM5jP2PRgmD6W/FoG+4cq&#10;alZKSHoLtWKOkZMp/whVl9woqwo35KoOVFGUXPgeoJtR+K6b7ZFp4XsBcKy+wWT/X1j+fH4xpMwT&#10;OqFEshpGtBOtIwvVEtDkwnJAawNj8O2BaW0dNopOvsHvcfoUjbJ0PFiGWTaIortw8LBYRYM4S1fL&#10;9P5uuXga/0CgA//Kvw8abac+N07Ki1sNhbgWEgOP0B31FpSYrS1MjV8AjIAdJnm5TQ8r4aCMJ/Ek&#10;jCnhYJpEcRT56ULS/rE21n0WqiYoJNQAOXxT7Aw1dfX1LphLqqysKk+QSv6mgJio8U10FWKtrt23&#10;HslxX/1e5RdoyqiOdlbzrITUa2bdCzPAM+gDdsdt4Cgq1SRUXSVKjsp8+5se/WH8YKWkAd4mVMJi&#10;UVJ9kUALpLgXRg9hHMLN+Ns4jkK87XsneaqXClZiBNupuRfR2VW9WBhVv8JqpZgNTExyyJlQ14tL&#10;120RrCYXaeqdgNKaubXcao6hETMEdNe+MqOvqDsY17Pqmc2m78DvfPGl1enJwQj8ZBDfDs0r7LAO&#10;nlDX1cV9+/XuvX7+YOZvAAAA//8DAFBLAwQUAAYACAAAACEAtFcKktwAAAADAQAADwAAAGRycy9k&#10;b3ducmV2LnhtbEyPQUvEMBCF74L/IYzgRdxUt0qtTRcRFtyDB1d78JY2s22xmZQk223/vaMXvQw8&#10;3uO9b4rNbAcxoQ+9IwU3qwQEUuNMT62Cj/ftdQYiRE1GD45QwYIBNuX5WaFz4070htM+toJLKORa&#10;QRfjmEsZmg6tDis3IrF3cN7qyNK30nh94nI7yNskuZdW98QLnR7xucPma3+0CqrZX71uH3YvS/3Z&#10;T0uyq9bZoVLq8mJ+egQRcY5/YfjBZ3Qomal2RzJBDAr4kfh72cvSNYhawV2agiwL+Z+9/AYAAP//&#10;AwBQSwECLQAUAAYACAAAACEAtoM4kv4AAADhAQAAEwAAAAAAAAAAAAAAAAAAAAAAW0NvbnRlbnRf&#10;VHlwZXNdLnhtbFBLAQItABQABgAIAAAAIQA4/SH/1gAAAJQBAAALAAAAAAAAAAAAAAAAAC8BAABf&#10;cmVscy8ucmVsc1BLAQItABQABgAIAAAAIQDMLxceaQIAAKgEAAAOAAAAAAAAAAAAAAAAAC4CAABk&#10;cnMvZTJvRG9jLnhtbFBLAQItABQABgAIAAAAIQC0VwqS3AAAAAMBAAAPAAAAAAAAAAAAAAAAAMME&#10;AABkcnMvZG93bnJldi54bWxQSwUGAAAAAAQABADzAAAAzAUAAAAA&#10;" filled="f" stroked="f">
                    <v:textbox style="mso-fit-shape-to-text:t" inset="0,15pt,20pt,0">
                      <w:txbxContent>
                        <w:p w:rsidR="00F95FC4" w:rsidRPr="007706FF" w:rsidRDefault="00F95FC4" w:rsidP="00EA4240">
                          <w:pPr>
                            <w:rPr>
                              <w:rFonts w:ascii="Calibri" w:eastAsia="Calibri" w:hAnsi="Calibri" w:cs="Calibri"/>
                              <w:noProof/>
                              <w:color w:val="000000"/>
                              <w:sz w:val="20"/>
                              <w:szCs w:val="20"/>
                            </w:rPr>
                          </w:pPr>
                        </w:p>
                      </w:txbxContent>
                    </v:textbox>
                    <w10:wrap anchorx="page" anchory="page"/>
                  </v:shape>
                </w:pict>
              </mc:Fallback>
            </mc:AlternateContent>
          </w:r>
          <w:r w:rsidRPr="00272461">
            <w:rPr>
              <w:rFonts w:ascii="Arial" w:hAnsi="Arial" w:cs="Arial"/>
              <w:b/>
              <w:color w:val="31849B" w:themeColor="accent5" w:themeShade="BF"/>
            </w:rPr>
            <w:t xml:space="preserve">Финансирано от </w:t>
          </w:r>
        </w:p>
        <w:p w:rsidR="00F95FC4" w:rsidRPr="00272461" w:rsidRDefault="00F95FC4" w:rsidP="00EA4240">
          <w:pPr>
            <w:tabs>
              <w:tab w:val="center" w:pos="4153"/>
              <w:tab w:val="right" w:pos="9356"/>
            </w:tabs>
            <w:jc w:val="center"/>
            <w:rPr>
              <w:rFonts w:ascii="Arial" w:hAnsi="Arial" w:cs="Arial"/>
              <w:b/>
            </w:rPr>
          </w:pPr>
          <w:r w:rsidRPr="00272461">
            <w:rPr>
              <w:rFonts w:ascii="Arial" w:hAnsi="Arial" w:cs="Arial"/>
              <w:b/>
              <w:color w:val="31849B" w:themeColor="accent5" w:themeShade="BF"/>
            </w:rPr>
            <w:t>Европейския съюз</w:t>
          </w:r>
        </w:p>
        <w:p w:rsidR="00F95FC4" w:rsidRPr="001F5BA1" w:rsidRDefault="00F95FC4" w:rsidP="00EA4240">
          <w:pPr>
            <w:tabs>
              <w:tab w:val="center" w:pos="4153"/>
              <w:tab w:val="right" w:pos="9356"/>
            </w:tabs>
            <w:jc w:val="center"/>
            <w:rPr>
              <w:rFonts w:ascii="Candara" w:hAnsi="Candara" w:cs="Calibri"/>
              <w:b/>
              <w:bCs/>
              <w:snapToGrid w:val="0"/>
            </w:rPr>
          </w:pPr>
          <w:r w:rsidRPr="00272461">
            <w:rPr>
              <w:rFonts w:ascii="Candara" w:hAnsi="Candara" w:cs="Calibri"/>
              <w:b/>
              <w:bCs/>
              <w:snapToGrid w:val="0"/>
              <w:color w:val="17365D" w:themeColor="text2" w:themeShade="BF"/>
            </w:rPr>
            <w:t>Следващо</w:t>
          </w:r>
          <w:r>
            <w:rPr>
              <w:rFonts w:ascii="Candara" w:hAnsi="Candara" w:cs="Calibri"/>
              <w:b/>
              <w:bCs/>
              <w:snapToGrid w:val="0"/>
              <w:color w:val="17365D" w:themeColor="text2" w:themeShade="BF"/>
              <w:lang w:val="en-US"/>
            </w:rPr>
            <w:t xml:space="preserve"> </w:t>
          </w:r>
          <w:r w:rsidRPr="00272461">
            <w:rPr>
              <w:rFonts w:ascii="Candara" w:hAnsi="Candara" w:cs="Calibri"/>
              <w:b/>
              <w:bCs/>
              <w:snapToGrid w:val="0"/>
              <w:color w:val="17365D" w:themeColor="text2" w:themeShade="BF"/>
            </w:rPr>
            <w:t>Поколение</w:t>
          </w:r>
          <w:r>
            <w:rPr>
              <w:rFonts w:ascii="Candara" w:hAnsi="Candara" w:cs="Calibri"/>
              <w:b/>
              <w:bCs/>
              <w:snapToGrid w:val="0"/>
              <w:color w:val="17365D" w:themeColor="text2" w:themeShade="BF"/>
              <w:lang w:val="en-US"/>
            </w:rPr>
            <w:t xml:space="preserve"> </w:t>
          </w:r>
          <w:r w:rsidRPr="00272461">
            <w:rPr>
              <w:rFonts w:ascii="Candara" w:hAnsi="Candara" w:cs="Calibri"/>
              <w:b/>
              <w:bCs/>
              <w:snapToGrid w:val="0"/>
              <w:color w:val="17365D" w:themeColor="text2" w:themeShade="BF"/>
            </w:rPr>
            <w:t>ЕС</w:t>
          </w:r>
        </w:p>
      </w:tc>
      <w:tc>
        <w:tcPr>
          <w:tcW w:w="3285" w:type="dxa"/>
        </w:tcPr>
        <w:p w:rsidR="00F95FC4" w:rsidRDefault="00F95FC4" w:rsidP="00EA4240">
          <w:pPr>
            <w:spacing w:before="120" w:after="120"/>
            <w:jc w:val="center"/>
            <w:rPr>
              <w:rFonts w:ascii="Arial" w:hAnsi="Arial" w:cs="Arial"/>
              <w:b/>
              <w:bCs/>
            </w:rPr>
          </w:pPr>
          <w:r w:rsidRPr="00987542">
            <w:rPr>
              <w:noProof/>
            </w:rPr>
            <w:drawing>
              <wp:inline distT="0" distB="0" distL="0" distR="0" wp14:anchorId="0D449864" wp14:editId="1B96FB5D">
                <wp:extent cx="686548" cy="608026"/>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210" cy="638724"/>
                        </a:xfrm>
                        <a:prstGeom prst="rect">
                          <a:avLst/>
                        </a:prstGeom>
                        <a:noFill/>
                        <a:ln>
                          <a:noFill/>
                        </a:ln>
                      </pic:spPr>
                    </pic:pic>
                  </a:graphicData>
                </a:graphic>
              </wp:inline>
            </w:drawing>
          </w:r>
        </w:p>
        <w:p w:rsidR="00F95FC4" w:rsidRPr="00272461" w:rsidRDefault="00F95FC4" w:rsidP="00EA4240">
          <w:pPr>
            <w:spacing w:before="120" w:after="120"/>
            <w:jc w:val="center"/>
            <w:rPr>
              <w:rFonts w:ascii="Arial" w:hAnsi="Arial" w:cs="Arial"/>
              <w:snapToGrid w:val="0"/>
            </w:rPr>
          </w:pPr>
          <w:r w:rsidRPr="00272461">
            <w:rPr>
              <w:rFonts w:ascii="Arial" w:hAnsi="Arial" w:cs="Arial"/>
              <w:b/>
              <w:bCs/>
            </w:rPr>
            <w:t>План за възстановяване и устойчивост</w:t>
          </w:r>
        </w:p>
      </w:tc>
      <w:tc>
        <w:tcPr>
          <w:tcW w:w="3170" w:type="dxa"/>
        </w:tcPr>
        <w:p w:rsidR="00F95FC4" w:rsidRDefault="00F95FC4" w:rsidP="00EA4240">
          <w:pPr>
            <w:tabs>
              <w:tab w:val="center" w:pos="4153"/>
              <w:tab w:val="right" w:pos="9356"/>
            </w:tabs>
            <w:jc w:val="center"/>
          </w:pPr>
          <w:r>
            <w:object w:dxaOrig="1716" w:dyaOrig="1356" w14:anchorId="0A35D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05pt;height:49.45pt">
                <v:imagedata r:id="rId3" o:title=""/>
              </v:shape>
              <o:OLEObject Type="Embed" ProgID="PBrush" ShapeID="_x0000_i1027" DrawAspect="Content" ObjectID="_1794728262" r:id="rId4"/>
            </w:object>
          </w:r>
        </w:p>
        <w:p w:rsidR="00F95FC4" w:rsidRPr="00272461" w:rsidRDefault="00F95FC4" w:rsidP="00EA4240">
          <w:pPr>
            <w:tabs>
              <w:tab w:val="center" w:pos="4153"/>
              <w:tab w:val="right" w:pos="9356"/>
            </w:tabs>
            <w:jc w:val="both"/>
            <w:rPr>
              <w:rFonts w:ascii="Arial" w:hAnsi="Arial" w:cs="Arial"/>
              <w:b/>
              <w:bCs/>
              <w:snapToGrid w:val="0"/>
            </w:rPr>
          </w:pPr>
          <w:r>
            <w:object w:dxaOrig="4080" w:dyaOrig="1248" w14:anchorId="4EEF9914">
              <v:shape id="_x0000_i1028" type="#_x0000_t75" style="width:147.7pt;height:45.2pt">
                <v:imagedata r:id="rId5" o:title=""/>
              </v:shape>
              <o:OLEObject Type="Embed" ProgID="PBrush" ShapeID="_x0000_i1028" DrawAspect="Content" ObjectID="_1794728263" r:id="rId6"/>
            </w:object>
          </w:r>
          <w:r>
            <w:rPr>
              <w:rFonts w:ascii="Arial" w:hAnsi="Arial" w:cs="Arial"/>
              <w:b/>
              <w:bCs/>
              <w:snapToGrid w:val="0"/>
              <w:lang w:val="en-US"/>
            </w:rPr>
            <w:t xml:space="preserve"> </w:t>
          </w:r>
        </w:p>
      </w:tc>
    </w:tr>
  </w:tbl>
  <w:p w:rsidR="00F95FC4" w:rsidRDefault="00F95FC4" w:rsidP="00EA4240">
    <w:pPr>
      <w:pStyle w:val="Stext"/>
      <w:rPr>
        <w:rFonts w:ascii="Times New Roman" w:hAnsi="Times New Roman" w:cs="Times New Roman"/>
        <w:lang w:val="bg-BG"/>
      </w:rPr>
    </w:pPr>
  </w:p>
  <w:p w:rsidR="00F95FC4" w:rsidRPr="000E18E6" w:rsidRDefault="00F95FC4" w:rsidP="000E1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917"/>
    <w:multiLevelType w:val="hybridMultilevel"/>
    <w:tmpl w:val="4CF246FC"/>
    <w:lvl w:ilvl="0" w:tplc="4CE8B90A">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03AA4C12"/>
    <w:multiLevelType w:val="multilevel"/>
    <w:tmpl w:val="0402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B2704"/>
    <w:multiLevelType w:val="hybridMultilevel"/>
    <w:tmpl w:val="0D98C1DE"/>
    <w:lvl w:ilvl="0" w:tplc="887EEF88">
      <w:start w:val="4"/>
      <w:numFmt w:val="bullet"/>
      <w:lvlText w:val="-"/>
      <w:lvlJc w:val="left"/>
      <w:pPr>
        <w:ind w:left="720" w:hanging="360"/>
      </w:pPr>
      <w:rPr>
        <w:rFonts w:ascii="Verdana" w:eastAsiaTheme="minorHAnsi" w:hAnsi="Verdan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EB5CFE"/>
    <w:multiLevelType w:val="hybridMultilevel"/>
    <w:tmpl w:val="4BD490EA"/>
    <w:lvl w:ilvl="0" w:tplc="6FE62302">
      <w:numFmt w:val="bullet"/>
      <w:lvlText w:val="-"/>
      <w:lvlJc w:val="left"/>
      <w:pPr>
        <w:ind w:left="1164" w:hanging="804"/>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144DCB"/>
    <w:multiLevelType w:val="multilevel"/>
    <w:tmpl w:val="375887DC"/>
    <w:lvl w:ilvl="0">
      <w:start w:val="1"/>
      <w:numFmt w:val="decimal"/>
      <w:pStyle w:val="RRFTableNumber1"/>
      <w:lvlText w:val="%1."/>
      <w:lvlJc w:val="left"/>
      <w:pPr>
        <w:tabs>
          <w:tab w:val="num" w:pos="1021"/>
        </w:tabs>
        <w:ind w:left="1021" w:hanging="341"/>
      </w:pPr>
    </w:lvl>
    <w:lvl w:ilvl="1">
      <w:start w:val="1"/>
      <w:numFmt w:val="lowerLetter"/>
      <w:lvlText w:val="%2."/>
      <w:lvlJc w:val="left"/>
      <w:pPr>
        <w:tabs>
          <w:tab w:val="num" w:pos="0"/>
        </w:tabs>
        <w:ind w:left="1475" w:hanging="360"/>
      </w:pPr>
    </w:lvl>
    <w:lvl w:ilvl="2">
      <w:start w:val="1"/>
      <w:numFmt w:val="lowerRoman"/>
      <w:lvlText w:val="%3."/>
      <w:lvlJc w:val="right"/>
      <w:pPr>
        <w:tabs>
          <w:tab w:val="num" w:pos="0"/>
        </w:tabs>
        <w:ind w:left="2195" w:hanging="180"/>
      </w:pPr>
    </w:lvl>
    <w:lvl w:ilvl="3">
      <w:start w:val="1"/>
      <w:numFmt w:val="decimal"/>
      <w:lvlText w:val="%4."/>
      <w:lvlJc w:val="left"/>
      <w:pPr>
        <w:tabs>
          <w:tab w:val="num" w:pos="0"/>
        </w:tabs>
        <w:ind w:left="2915" w:hanging="360"/>
      </w:pPr>
    </w:lvl>
    <w:lvl w:ilvl="4">
      <w:start w:val="1"/>
      <w:numFmt w:val="lowerLetter"/>
      <w:lvlText w:val="%5."/>
      <w:lvlJc w:val="left"/>
      <w:pPr>
        <w:tabs>
          <w:tab w:val="num" w:pos="0"/>
        </w:tabs>
        <w:ind w:left="3635" w:hanging="360"/>
      </w:pPr>
    </w:lvl>
    <w:lvl w:ilvl="5">
      <w:start w:val="1"/>
      <w:numFmt w:val="lowerRoman"/>
      <w:lvlText w:val="%6."/>
      <w:lvlJc w:val="right"/>
      <w:pPr>
        <w:tabs>
          <w:tab w:val="num" w:pos="0"/>
        </w:tabs>
        <w:ind w:left="4355" w:hanging="180"/>
      </w:pPr>
    </w:lvl>
    <w:lvl w:ilvl="6">
      <w:start w:val="1"/>
      <w:numFmt w:val="decimal"/>
      <w:lvlText w:val="%7."/>
      <w:lvlJc w:val="left"/>
      <w:pPr>
        <w:tabs>
          <w:tab w:val="num" w:pos="0"/>
        </w:tabs>
        <w:ind w:left="5075" w:hanging="360"/>
      </w:pPr>
    </w:lvl>
    <w:lvl w:ilvl="7">
      <w:start w:val="1"/>
      <w:numFmt w:val="lowerLetter"/>
      <w:lvlText w:val="%8."/>
      <w:lvlJc w:val="left"/>
      <w:pPr>
        <w:tabs>
          <w:tab w:val="num" w:pos="0"/>
        </w:tabs>
        <w:ind w:left="5795" w:hanging="360"/>
      </w:pPr>
    </w:lvl>
    <w:lvl w:ilvl="8">
      <w:start w:val="1"/>
      <w:numFmt w:val="lowerRoman"/>
      <w:lvlText w:val="%9."/>
      <w:lvlJc w:val="right"/>
      <w:pPr>
        <w:tabs>
          <w:tab w:val="num" w:pos="0"/>
        </w:tabs>
        <w:ind w:left="6515" w:hanging="180"/>
      </w:pPr>
    </w:lvl>
  </w:abstractNum>
  <w:abstractNum w:abstractNumId="5" w15:restartNumberingAfterBreak="0">
    <w:nsid w:val="10F077C6"/>
    <w:multiLevelType w:val="hybridMultilevel"/>
    <w:tmpl w:val="751C53CA"/>
    <w:lvl w:ilvl="0" w:tplc="CC020EB8">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5633690"/>
    <w:multiLevelType w:val="hybridMultilevel"/>
    <w:tmpl w:val="D9A4E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1">
    <w:nsid w:val="19A47314"/>
    <w:multiLevelType w:val="multilevel"/>
    <w:tmpl w:val="11344294"/>
    <w:name w:val="S heading_arb"/>
    <w:lvl w:ilvl="0">
      <w:start w:val="1"/>
      <w:numFmt w:val="upperRoman"/>
      <w:pStyle w:val="SheadingIarb"/>
      <w:lvlText w:val="%1."/>
      <w:lvlJc w:val="left"/>
      <w:pPr>
        <w:tabs>
          <w:tab w:val="num" w:pos="851"/>
        </w:tabs>
        <w:ind w:left="851" w:hanging="851"/>
      </w:pPr>
    </w:lvl>
    <w:lvl w:ilvl="1">
      <w:start w:val="1"/>
      <w:numFmt w:val="decimal"/>
      <w:pStyle w:val="Sheading1arb"/>
      <w:lvlText w:val="%2"/>
      <w:lvlJc w:val="left"/>
      <w:pPr>
        <w:tabs>
          <w:tab w:val="num" w:pos="851"/>
        </w:tabs>
        <w:ind w:left="851" w:hanging="851"/>
      </w:pPr>
    </w:lvl>
    <w:lvl w:ilvl="2">
      <w:start w:val="1"/>
      <w:numFmt w:val="decimal"/>
      <w:pStyle w:val="Sheading2arb"/>
      <w:lvlText w:val="%2.%3"/>
      <w:lvlJc w:val="left"/>
      <w:pPr>
        <w:tabs>
          <w:tab w:val="num" w:pos="851"/>
        </w:tabs>
        <w:ind w:left="851" w:hanging="851"/>
      </w:pPr>
    </w:lvl>
    <w:lvl w:ilvl="3">
      <w:start w:val="1"/>
      <w:numFmt w:val="decimal"/>
      <w:pStyle w:val="Sheading3arb"/>
      <w:lvlText w:val="%2.%3.%4"/>
      <w:lvlJc w:val="left"/>
      <w:pPr>
        <w:tabs>
          <w:tab w:val="num" w:pos="851"/>
        </w:tabs>
        <w:ind w:left="851" w:hanging="851"/>
      </w:pPr>
    </w:lvl>
    <w:lvl w:ilvl="4">
      <w:start w:val="1"/>
      <w:numFmt w:val="decimal"/>
      <w:pStyle w:val="Sheading4arb"/>
      <w:lvlText w:val="%2.%3.%4.%5"/>
      <w:lvlJc w:val="left"/>
      <w:pPr>
        <w:tabs>
          <w:tab w:val="num" w:pos="2269"/>
        </w:tabs>
        <w:ind w:left="2269" w:hanging="1418"/>
      </w:pPr>
    </w:lvl>
    <w:lvl w:ilvl="5">
      <w:start w:val="1"/>
      <w:numFmt w:val="decimal"/>
      <w:pStyle w:val="Sheading5arb"/>
      <w:lvlText w:val="%2.%3.%4.%5.%6"/>
      <w:lvlJc w:val="left"/>
      <w:pPr>
        <w:tabs>
          <w:tab w:val="num" w:pos="2269"/>
        </w:tabs>
        <w:ind w:left="2269" w:hanging="1418"/>
      </w:p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1">
    <w:nsid w:val="22A47319"/>
    <w:multiLevelType w:val="multilevel"/>
    <w:tmpl w:val="16454294"/>
    <w:name w:val="S headingL"/>
    <w:lvl w:ilvl="0">
      <w:start w:val="1"/>
      <w:numFmt w:val="upperRoman"/>
      <w:pStyle w:val="SheadingIL"/>
      <w:lvlText w:val="%1."/>
      <w:lvlJc w:val="left"/>
      <w:pPr>
        <w:tabs>
          <w:tab w:val="num" w:pos="964"/>
        </w:tabs>
        <w:ind w:left="964" w:hanging="964"/>
      </w:pPr>
    </w:lvl>
    <w:lvl w:ilvl="1">
      <w:start w:val="1"/>
      <w:numFmt w:val="decimal"/>
      <w:pStyle w:val="SheadingL1"/>
      <w:lvlText w:val="%2"/>
      <w:lvlJc w:val="left"/>
      <w:pPr>
        <w:tabs>
          <w:tab w:val="num" w:pos="964"/>
        </w:tabs>
        <w:ind w:left="964" w:hanging="964"/>
      </w:pPr>
    </w:lvl>
    <w:lvl w:ilvl="2">
      <w:start w:val="1"/>
      <w:numFmt w:val="decimal"/>
      <w:pStyle w:val="SheadingL2"/>
      <w:lvlText w:val="%2.%3"/>
      <w:lvlJc w:val="left"/>
      <w:pPr>
        <w:tabs>
          <w:tab w:val="num" w:pos="964"/>
        </w:tabs>
        <w:ind w:left="964" w:hanging="964"/>
      </w:pPr>
    </w:lvl>
    <w:lvl w:ilvl="3">
      <w:start w:val="1"/>
      <w:numFmt w:val="decimal"/>
      <w:pStyle w:val="SheadingL3"/>
      <w:lvlText w:val="%2.%3.%4"/>
      <w:lvlJc w:val="left"/>
      <w:pPr>
        <w:tabs>
          <w:tab w:val="num" w:pos="964"/>
        </w:tabs>
        <w:ind w:left="964" w:hanging="964"/>
      </w:pPr>
    </w:lvl>
    <w:lvl w:ilvl="4">
      <w:start w:val="1"/>
      <w:numFmt w:val="decimal"/>
      <w:pStyle w:val="SheadingL4"/>
      <w:lvlText w:val="%2.%3.%4.%5"/>
      <w:lvlJc w:val="left"/>
      <w:pPr>
        <w:tabs>
          <w:tab w:val="num" w:pos="964"/>
        </w:tabs>
        <w:ind w:left="964" w:hanging="964"/>
      </w:pPr>
    </w:lvl>
    <w:lvl w:ilvl="5">
      <w:start w:val="1"/>
      <w:numFmt w:val="decimal"/>
      <w:pStyle w:val="SheadingL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1">
    <w:nsid w:val="22A47320"/>
    <w:multiLevelType w:val="multilevel"/>
    <w:tmpl w:val="16454295"/>
    <w:name w:val="S headingM"/>
    <w:lvl w:ilvl="0">
      <w:start w:val="1"/>
      <w:numFmt w:val="upperRoman"/>
      <w:pStyle w:val="SheadingIM"/>
      <w:lvlText w:val="%1."/>
      <w:lvlJc w:val="left"/>
      <w:pPr>
        <w:tabs>
          <w:tab w:val="num" w:pos="964"/>
        </w:tabs>
        <w:ind w:left="964" w:hanging="964"/>
      </w:pPr>
    </w:lvl>
    <w:lvl w:ilvl="1">
      <w:start w:val="1"/>
      <w:numFmt w:val="decimal"/>
      <w:pStyle w:val="SheadingM1"/>
      <w:lvlText w:val="%2"/>
      <w:lvlJc w:val="left"/>
      <w:pPr>
        <w:tabs>
          <w:tab w:val="num" w:pos="964"/>
        </w:tabs>
        <w:ind w:left="964" w:hanging="964"/>
      </w:pPr>
    </w:lvl>
    <w:lvl w:ilvl="2">
      <w:start w:val="1"/>
      <w:numFmt w:val="decimal"/>
      <w:pStyle w:val="SheadingM2"/>
      <w:lvlText w:val="%2.%3"/>
      <w:lvlJc w:val="left"/>
      <w:pPr>
        <w:tabs>
          <w:tab w:val="num" w:pos="964"/>
        </w:tabs>
        <w:ind w:left="964" w:hanging="964"/>
      </w:pPr>
    </w:lvl>
    <w:lvl w:ilvl="3">
      <w:start w:val="1"/>
      <w:numFmt w:val="decimal"/>
      <w:pStyle w:val="SheadingM3"/>
      <w:lvlText w:val="%2.%3.%4"/>
      <w:lvlJc w:val="left"/>
      <w:pPr>
        <w:tabs>
          <w:tab w:val="num" w:pos="964"/>
        </w:tabs>
        <w:ind w:left="964" w:hanging="964"/>
      </w:pPr>
    </w:lvl>
    <w:lvl w:ilvl="4">
      <w:start w:val="1"/>
      <w:numFmt w:val="decimal"/>
      <w:pStyle w:val="SheadingM4"/>
      <w:lvlText w:val="%2.%3.%4.%5"/>
      <w:lvlJc w:val="left"/>
      <w:pPr>
        <w:tabs>
          <w:tab w:val="num" w:pos="964"/>
        </w:tabs>
        <w:ind w:left="964" w:hanging="964"/>
      </w:pPr>
    </w:lvl>
    <w:lvl w:ilvl="5">
      <w:start w:val="1"/>
      <w:numFmt w:val="decimal"/>
      <w:pStyle w:val="SheadingM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10" w15:restartNumberingAfterBreak="1">
    <w:nsid w:val="22A47321"/>
    <w:multiLevelType w:val="multilevel"/>
    <w:tmpl w:val="16454296"/>
    <w:name w:val="S headingR"/>
    <w:lvl w:ilvl="0">
      <w:start w:val="1"/>
      <w:numFmt w:val="upperRoman"/>
      <w:pStyle w:val="SheadingIR"/>
      <w:lvlText w:val="%1."/>
      <w:lvlJc w:val="left"/>
      <w:pPr>
        <w:tabs>
          <w:tab w:val="num" w:pos="964"/>
        </w:tabs>
        <w:ind w:left="964" w:hanging="964"/>
      </w:pPr>
    </w:lvl>
    <w:lvl w:ilvl="1">
      <w:start w:val="1"/>
      <w:numFmt w:val="decimal"/>
      <w:pStyle w:val="SheadingR1"/>
      <w:lvlText w:val="%2"/>
      <w:lvlJc w:val="left"/>
      <w:pPr>
        <w:tabs>
          <w:tab w:val="num" w:pos="964"/>
        </w:tabs>
        <w:ind w:left="964" w:hanging="964"/>
      </w:pPr>
    </w:lvl>
    <w:lvl w:ilvl="2">
      <w:start w:val="1"/>
      <w:numFmt w:val="decimal"/>
      <w:pStyle w:val="SheadingR2"/>
      <w:lvlText w:val="%2.%3"/>
      <w:lvlJc w:val="left"/>
      <w:pPr>
        <w:tabs>
          <w:tab w:val="num" w:pos="964"/>
        </w:tabs>
        <w:ind w:left="964" w:hanging="964"/>
      </w:pPr>
    </w:lvl>
    <w:lvl w:ilvl="3">
      <w:start w:val="1"/>
      <w:numFmt w:val="decimal"/>
      <w:pStyle w:val="SheadingR3"/>
      <w:lvlText w:val="%2.%3.%4"/>
      <w:lvlJc w:val="left"/>
      <w:pPr>
        <w:tabs>
          <w:tab w:val="num" w:pos="964"/>
        </w:tabs>
        <w:ind w:left="964" w:hanging="964"/>
      </w:pPr>
    </w:lvl>
    <w:lvl w:ilvl="4">
      <w:start w:val="1"/>
      <w:numFmt w:val="decimal"/>
      <w:pStyle w:val="SheadingR4"/>
      <w:lvlText w:val="%2.%3.%4.%5"/>
      <w:lvlJc w:val="left"/>
      <w:pPr>
        <w:tabs>
          <w:tab w:val="num" w:pos="964"/>
        </w:tabs>
        <w:ind w:left="964" w:hanging="964"/>
      </w:pPr>
    </w:lvl>
    <w:lvl w:ilvl="5">
      <w:start w:val="1"/>
      <w:numFmt w:val="decimal"/>
      <w:pStyle w:val="SheadingR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152204"/>
    <w:multiLevelType w:val="hybridMultilevel"/>
    <w:tmpl w:val="EEF84184"/>
    <w:lvl w:ilvl="0" w:tplc="0402000F">
      <w:start w:val="1"/>
      <w:numFmt w:val="decimal"/>
      <w:lvlText w:val="%1."/>
      <w:lvlJc w:val="left"/>
      <w:pPr>
        <w:ind w:left="7023" w:hanging="360"/>
      </w:pPr>
      <w:rPr>
        <w:rFonts w:hint="default"/>
      </w:rPr>
    </w:lvl>
    <w:lvl w:ilvl="1" w:tplc="04020019" w:tentative="1">
      <w:start w:val="1"/>
      <w:numFmt w:val="lowerLetter"/>
      <w:lvlText w:val="%2."/>
      <w:lvlJc w:val="left"/>
      <w:pPr>
        <w:ind w:left="7743" w:hanging="360"/>
      </w:pPr>
    </w:lvl>
    <w:lvl w:ilvl="2" w:tplc="0402001B" w:tentative="1">
      <w:start w:val="1"/>
      <w:numFmt w:val="lowerRoman"/>
      <w:lvlText w:val="%3."/>
      <w:lvlJc w:val="right"/>
      <w:pPr>
        <w:ind w:left="8463" w:hanging="180"/>
      </w:pPr>
    </w:lvl>
    <w:lvl w:ilvl="3" w:tplc="0402000F" w:tentative="1">
      <w:start w:val="1"/>
      <w:numFmt w:val="decimal"/>
      <w:lvlText w:val="%4."/>
      <w:lvlJc w:val="left"/>
      <w:pPr>
        <w:ind w:left="9183" w:hanging="360"/>
      </w:pPr>
    </w:lvl>
    <w:lvl w:ilvl="4" w:tplc="04020019" w:tentative="1">
      <w:start w:val="1"/>
      <w:numFmt w:val="lowerLetter"/>
      <w:lvlText w:val="%5."/>
      <w:lvlJc w:val="left"/>
      <w:pPr>
        <w:ind w:left="9903" w:hanging="360"/>
      </w:pPr>
    </w:lvl>
    <w:lvl w:ilvl="5" w:tplc="0402001B" w:tentative="1">
      <w:start w:val="1"/>
      <w:numFmt w:val="lowerRoman"/>
      <w:lvlText w:val="%6."/>
      <w:lvlJc w:val="right"/>
      <w:pPr>
        <w:ind w:left="10623" w:hanging="180"/>
      </w:pPr>
    </w:lvl>
    <w:lvl w:ilvl="6" w:tplc="0402000F" w:tentative="1">
      <w:start w:val="1"/>
      <w:numFmt w:val="decimal"/>
      <w:lvlText w:val="%7."/>
      <w:lvlJc w:val="left"/>
      <w:pPr>
        <w:ind w:left="11343" w:hanging="360"/>
      </w:pPr>
    </w:lvl>
    <w:lvl w:ilvl="7" w:tplc="04020019" w:tentative="1">
      <w:start w:val="1"/>
      <w:numFmt w:val="lowerLetter"/>
      <w:lvlText w:val="%8."/>
      <w:lvlJc w:val="left"/>
      <w:pPr>
        <w:ind w:left="12063" w:hanging="360"/>
      </w:pPr>
    </w:lvl>
    <w:lvl w:ilvl="8" w:tplc="0402001B" w:tentative="1">
      <w:start w:val="1"/>
      <w:numFmt w:val="lowerRoman"/>
      <w:lvlText w:val="%9."/>
      <w:lvlJc w:val="right"/>
      <w:pPr>
        <w:ind w:left="12783" w:hanging="180"/>
      </w:pPr>
    </w:lvl>
  </w:abstractNum>
  <w:abstractNum w:abstractNumId="12" w15:restartNumberingAfterBreak="1">
    <w:nsid w:val="23A47314"/>
    <w:multiLevelType w:val="multilevel"/>
    <w:tmpl w:val="16344294"/>
    <w:name w:val="S heading"/>
    <w:lvl w:ilvl="0">
      <w:start w:val="1"/>
      <w:numFmt w:val="upperRoman"/>
      <w:pStyle w:val="SheadingI"/>
      <w:lvlText w:val="%1."/>
      <w:lvlJc w:val="left"/>
      <w:pPr>
        <w:tabs>
          <w:tab w:val="num" w:pos="680"/>
        </w:tabs>
        <w:ind w:left="680" w:hanging="680"/>
      </w:pPr>
    </w:lvl>
    <w:lvl w:ilvl="1">
      <w:start w:val="1"/>
      <w:numFmt w:val="decimal"/>
      <w:pStyle w:val="Sheading1"/>
      <w:lvlText w:val="%2"/>
      <w:lvlJc w:val="left"/>
      <w:pPr>
        <w:tabs>
          <w:tab w:val="num" w:pos="680"/>
        </w:tabs>
        <w:ind w:left="680" w:hanging="680"/>
      </w:pPr>
    </w:lvl>
    <w:lvl w:ilvl="2">
      <w:start w:val="1"/>
      <w:numFmt w:val="decimal"/>
      <w:pStyle w:val="Sheading2"/>
      <w:lvlText w:val="%2.%3"/>
      <w:lvlJc w:val="left"/>
      <w:pPr>
        <w:tabs>
          <w:tab w:val="num" w:pos="680"/>
        </w:tabs>
        <w:ind w:left="680" w:hanging="680"/>
      </w:pPr>
    </w:lvl>
    <w:lvl w:ilvl="3">
      <w:start w:val="1"/>
      <w:numFmt w:val="decimal"/>
      <w:pStyle w:val="Sheading3"/>
      <w:lvlText w:val="%2.%3.%4"/>
      <w:lvlJc w:val="left"/>
      <w:pPr>
        <w:tabs>
          <w:tab w:val="num" w:pos="1531"/>
        </w:tabs>
        <w:ind w:left="1531" w:hanging="851"/>
      </w:pPr>
    </w:lvl>
    <w:lvl w:ilvl="4">
      <w:start w:val="1"/>
      <w:numFmt w:val="decimal"/>
      <w:pStyle w:val="Sheading4"/>
      <w:lvlText w:val="%2.%3.%4.%5"/>
      <w:lvlJc w:val="left"/>
      <w:pPr>
        <w:tabs>
          <w:tab w:val="num" w:pos="2778"/>
        </w:tabs>
        <w:ind w:left="2778" w:hanging="1247"/>
      </w:pPr>
    </w:lvl>
    <w:lvl w:ilvl="5">
      <w:start w:val="1"/>
      <w:numFmt w:val="decimal"/>
      <w:pStyle w:val="Sheading5"/>
      <w:lvlText w:val="%2.%3.%4.%5.%6"/>
      <w:lvlJc w:val="left"/>
      <w:pPr>
        <w:tabs>
          <w:tab w:val="num" w:pos="2778"/>
        </w:tabs>
        <w:ind w:left="2778" w:hanging="1247"/>
      </w:p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1">
    <w:nsid w:val="23A47319"/>
    <w:multiLevelType w:val="multilevel"/>
    <w:tmpl w:val="16344298"/>
    <w:name w:val="S Schedule"/>
    <w:lvl w:ilvl="0">
      <w:start w:val="1"/>
      <w:numFmt w:val="decimal"/>
      <w:lvlText w:val=""/>
      <w:lvlJc w:val="left"/>
    </w:lvl>
    <w:lvl w:ilvl="1">
      <w:start w:val="1"/>
      <w:numFmt w:val="decimal"/>
      <w:pStyle w:val="SSchedule1"/>
      <w:lvlText w:val="%2"/>
      <w:lvlJc w:val="left"/>
      <w:pPr>
        <w:tabs>
          <w:tab w:val="num" w:pos="680"/>
        </w:tabs>
        <w:ind w:left="680" w:hanging="680"/>
      </w:pPr>
    </w:lvl>
    <w:lvl w:ilvl="2">
      <w:start w:val="1"/>
      <w:numFmt w:val="decimal"/>
      <w:pStyle w:val="SSchedule2"/>
      <w:lvlText w:val="%2.%3"/>
      <w:lvlJc w:val="left"/>
      <w:pPr>
        <w:tabs>
          <w:tab w:val="num" w:pos="680"/>
        </w:tabs>
        <w:ind w:left="680" w:hanging="680"/>
      </w:pPr>
    </w:lvl>
    <w:lvl w:ilvl="3">
      <w:start w:val="1"/>
      <w:numFmt w:val="decimal"/>
      <w:pStyle w:val="SSchedule3"/>
      <w:lvlText w:val="%2.%3.%4"/>
      <w:lvlJc w:val="left"/>
      <w:pPr>
        <w:tabs>
          <w:tab w:val="num" w:pos="1531"/>
        </w:tabs>
        <w:ind w:left="1531" w:hanging="851"/>
      </w:pPr>
    </w:lvl>
    <w:lvl w:ilvl="4">
      <w:start w:val="1"/>
      <w:numFmt w:val="decimal"/>
      <w:pStyle w:val="SSchedule4"/>
      <w:lvlText w:val="%2.%3.%4.%5"/>
      <w:lvlJc w:val="left"/>
      <w:pPr>
        <w:tabs>
          <w:tab w:val="num" w:pos="2778"/>
        </w:tabs>
        <w:ind w:left="2778" w:hanging="1247"/>
      </w:pPr>
    </w:lvl>
    <w:lvl w:ilvl="5">
      <w:start w:val="1"/>
      <w:numFmt w:val="decimal"/>
      <w:pStyle w:val="SSchedule5"/>
      <w:lvlText w:val="%2.%3.%4.%5.%6"/>
      <w:lvlJc w:val="left"/>
      <w:pPr>
        <w:tabs>
          <w:tab w:val="num" w:pos="2778"/>
        </w:tabs>
        <w:ind w:left="2778" w:hanging="1247"/>
      </w:p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B47314"/>
    <w:multiLevelType w:val="multilevel"/>
    <w:tmpl w:val="26344011"/>
    <w:name w:val="S list i"/>
    <w:lvl w:ilvl="0">
      <w:start w:val="1"/>
      <w:numFmt w:val="lowerRoman"/>
      <w:lvlText w:val=""/>
      <w:lvlJc w:val="left"/>
    </w:lvl>
    <w:lvl w:ilvl="1">
      <w:start w:val="1"/>
      <w:numFmt w:val="lowerRoman"/>
      <w:lvlText w:val="(%2)"/>
      <w:lvlJc w:val="left"/>
      <w:pPr>
        <w:tabs>
          <w:tab w:val="num" w:pos="680"/>
        </w:tabs>
        <w:ind w:left="680" w:hanging="680"/>
      </w:pPr>
    </w:lvl>
    <w:lvl w:ilvl="2">
      <w:start w:val="1"/>
      <w:numFmt w:val="lowerRoman"/>
      <w:lvlText w:val="(%3)"/>
      <w:lvlJc w:val="left"/>
      <w:pPr>
        <w:tabs>
          <w:tab w:val="num" w:pos="1531"/>
        </w:tabs>
        <w:ind w:left="1531" w:hanging="851"/>
      </w:pPr>
    </w:lvl>
    <w:lvl w:ilvl="3">
      <w:start w:val="1"/>
      <w:numFmt w:val="lowerRoman"/>
      <w:lvlText w:val="(%4)"/>
      <w:lvlJc w:val="left"/>
      <w:pPr>
        <w:tabs>
          <w:tab w:val="num" w:pos="1531"/>
        </w:tabs>
        <w:ind w:left="1531" w:hanging="851"/>
      </w:pPr>
    </w:lvl>
    <w:lvl w:ilvl="4">
      <w:start w:val="1"/>
      <w:numFmt w:val="lowerRoman"/>
      <w:lvlText w:val="(%5)"/>
      <w:lvlJc w:val="left"/>
      <w:pPr>
        <w:tabs>
          <w:tab w:val="num" w:pos="2778"/>
        </w:tabs>
        <w:ind w:left="2778" w:hanging="1247"/>
      </w:pPr>
    </w:lvl>
    <w:lvl w:ilvl="5">
      <w:start w:val="1"/>
      <w:numFmt w:val="lowerRoman"/>
      <w:lvlText w:val="(%6)"/>
      <w:lvlJc w:val="left"/>
      <w:pPr>
        <w:tabs>
          <w:tab w:val="num" w:pos="4025"/>
        </w:tabs>
        <w:ind w:left="4025" w:hanging="1247"/>
      </w:pPr>
    </w:lvl>
    <w:lvl w:ilvl="6">
      <w:start w:val="1"/>
      <w:numFmt w:val="lowerRoman"/>
      <w:lvlText w:val="(%7)"/>
      <w:lvlJc w:val="left"/>
      <w:pPr>
        <w:tabs>
          <w:tab w:val="num" w:pos="4025"/>
        </w:tabs>
        <w:ind w:left="4025" w:hanging="1247"/>
      </w:pPr>
    </w:lvl>
    <w:lvl w:ilvl="7">
      <w:start w:val="1"/>
      <w:numFmt w:val="lowerRoman"/>
      <w:lvlText w:val="(%8)"/>
      <w:lvlJc w:val="left"/>
      <w:pPr>
        <w:tabs>
          <w:tab w:val="num" w:pos="1814"/>
        </w:tabs>
        <w:ind w:left="1814" w:hanging="850"/>
      </w:pPr>
    </w:lvl>
    <w:lvl w:ilvl="8">
      <w:numFmt w:val="decimal"/>
      <w:lvlText w:val=""/>
      <w:lvlJc w:val="left"/>
    </w:lvl>
  </w:abstractNum>
  <w:abstractNum w:abstractNumId="15" w15:restartNumberingAfterBreak="0">
    <w:nsid w:val="23B75114"/>
    <w:multiLevelType w:val="multilevel"/>
    <w:tmpl w:val="26304111"/>
    <w:name w:val="S list iR"/>
    <w:lvl w:ilvl="0">
      <w:start w:val="1"/>
      <w:numFmt w:val="lowerRoman"/>
      <w:lvlText w:val=""/>
      <w:lvlJc w:val="left"/>
    </w:lvl>
    <w:lvl w:ilvl="1">
      <w:start w:val="1"/>
      <w:numFmt w:val="lowerRoman"/>
      <w:lvlText w:val="(%2)"/>
      <w:lvlJc w:val="left"/>
      <w:pPr>
        <w:tabs>
          <w:tab w:val="num" w:pos="680"/>
        </w:tabs>
        <w:ind w:left="680" w:hanging="680"/>
      </w:pPr>
    </w:lvl>
    <w:lvl w:ilvl="2">
      <w:start w:val="1"/>
      <w:numFmt w:val="lowerRoman"/>
      <w:lvlText w:val="(%3)"/>
      <w:lvlJc w:val="left"/>
      <w:pPr>
        <w:tabs>
          <w:tab w:val="num" w:pos="1531"/>
        </w:tabs>
        <w:ind w:left="1531" w:hanging="851"/>
      </w:pPr>
    </w:lvl>
    <w:lvl w:ilvl="3">
      <w:start w:val="1"/>
      <w:numFmt w:val="lowerRoman"/>
      <w:lvlText w:val="(%4)"/>
      <w:lvlJc w:val="left"/>
      <w:pPr>
        <w:tabs>
          <w:tab w:val="num" w:pos="1531"/>
        </w:tabs>
        <w:ind w:left="1531" w:hanging="851"/>
      </w:pPr>
    </w:lvl>
    <w:lvl w:ilvl="4">
      <w:start w:val="1"/>
      <w:numFmt w:val="lowerRoman"/>
      <w:lvlText w:val="(%5)"/>
      <w:lvlJc w:val="left"/>
      <w:pPr>
        <w:tabs>
          <w:tab w:val="num" w:pos="2778"/>
        </w:tabs>
        <w:ind w:left="2778" w:hanging="1247"/>
      </w:pPr>
    </w:lvl>
    <w:lvl w:ilvl="5">
      <w:start w:val="1"/>
      <w:numFmt w:val="lowerRoman"/>
      <w:lvlText w:val="(%6)"/>
      <w:lvlJc w:val="left"/>
      <w:pPr>
        <w:tabs>
          <w:tab w:val="num" w:pos="4025"/>
        </w:tabs>
        <w:ind w:left="4025" w:hanging="1247"/>
      </w:pPr>
    </w:lvl>
    <w:lvl w:ilvl="6">
      <w:start w:val="1"/>
      <w:numFmt w:val="lowerRoman"/>
      <w:lvlText w:val="(%7)"/>
      <w:lvlJc w:val="left"/>
      <w:pPr>
        <w:tabs>
          <w:tab w:val="num" w:pos="4025"/>
        </w:tabs>
        <w:ind w:left="4025" w:hanging="1247"/>
      </w:pPr>
    </w:lvl>
    <w:lvl w:ilvl="7">
      <w:start w:val="1"/>
      <w:numFmt w:val="lowerRoman"/>
      <w:lvlText w:val="(%8)"/>
      <w:lvlJc w:val="left"/>
      <w:pPr>
        <w:tabs>
          <w:tab w:val="num" w:pos="1814"/>
        </w:tabs>
        <w:ind w:left="1814" w:hanging="850"/>
      </w:pPr>
    </w:lvl>
    <w:lvl w:ilvl="8">
      <w:numFmt w:val="decimal"/>
      <w:lvlText w:val=""/>
      <w:lvlJc w:val="left"/>
    </w:lvl>
  </w:abstractNum>
  <w:abstractNum w:abstractNumId="16" w15:restartNumberingAfterBreak="0">
    <w:nsid w:val="23C36914"/>
    <w:multiLevelType w:val="multilevel"/>
    <w:tmpl w:val="36349515"/>
    <w:name w:val="S list AR"/>
    <w:lvl w:ilvl="0">
      <w:start w:val="1"/>
      <w:numFmt w:val="upperLetter"/>
      <w:lvlText w:val=""/>
      <w:lvlJc w:val="left"/>
    </w:lvl>
    <w:lvl w:ilvl="1">
      <w:start w:val="1"/>
      <w:numFmt w:val="upperLetter"/>
      <w:lvlText w:val="(%2)"/>
      <w:lvlJc w:val="left"/>
      <w:pPr>
        <w:tabs>
          <w:tab w:val="num" w:pos="680"/>
        </w:tabs>
        <w:ind w:left="680" w:hanging="680"/>
      </w:pPr>
    </w:lvl>
    <w:lvl w:ilvl="2">
      <w:start w:val="1"/>
      <w:numFmt w:val="upperLetter"/>
      <w:lvlText w:val="(%3)"/>
      <w:lvlJc w:val="left"/>
      <w:pPr>
        <w:tabs>
          <w:tab w:val="num" w:pos="1531"/>
        </w:tabs>
        <w:ind w:left="1531" w:hanging="851"/>
      </w:pPr>
    </w:lvl>
    <w:lvl w:ilvl="3">
      <w:start w:val="1"/>
      <w:numFmt w:val="upperLetter"/>
      <w:lvlText w:val="(%4)"/>
      <w:lvlJc w:val="left"/>
      <w:pPr>
        <w:tabs>
          <w:tab w:val="num" w:pos="1531"/>
        </w:tabs>
        <w:ind w:left="1531" w:hanging="851"/>
      </w:pPr>
    </w:lvl>
    <w:lvl w:ilvl="4">
      <w:start w:val="1"/>
      <w:numFmt w:val="upperLetter"/>
      <w:lvlText w:val="(%5)"/>
      <w:lvlJc w:val="left"/>
      <w:pPr>
        <w:tabs>
          <w:tab w:val="num" w:pos="2778"/>
        </w:tabs>
        <w:ind w:left="2778" w:hanging="1247"/>
      </w:pPr>
    </w:lvl>
    <w:lvl w:ilvl="5">
      <w:start w:val="1"/>
      <w:numFmt w:val="upperLetter"/>
      <w:lvlText w:val="(%6)"/>
      <w:lvlJc w:val="left"/>
      <w:pPr>
        <w:tabs>
          <w:tab w:val="num" w:pos="4025"/>
        </w:tabs>
        <w:ind w:left="4025" w:hanging="1247"/>
      </w:pPr>
    </w:lvl>
    <w:lvl w:ilvl="6">
      <w:start w:val="1"/>
      <w:numFmt w:val="upperLetter"/>
      <w:lvlText w:val="(%7)"/>
      <w:lvlJc w:val="left"/>
      <w:pPr>
        <w:tabs>
          <w:tab w:val="num" w:pos="4025"/>
        </w:tabs>
        <w:ind w:left="4025" w:hanging="1247"/>
      </w:pPr>
    </w:lvl>
    <w:lvl w:ilvl="7">
      <w:start w:val="1"/>
      <w:numFmt w:val="upperLetter"/>
      <w:lvlText w:val="(%8)"/>
      <w:lvlJc w:val="left"/>
      <w:pPr>
        <w:tabs>
          <w:tab w:val="num" w:pos="1814"/>
        </w:tabs>
        <w:ind w:left="1814" w:hanging="850"/>
      </w:pPr>
    </w:lvl>
    <w:lvl w:ilvl="8">
      <w:numFmt w:val="decimal"/>
      <w:lvlText w:val=""/>
      <w:lvlJc w:val="left"/>
    </w:lvl>
  </w:abstractNum>
  <w:abstractNum w:abstractNumId="17" w15:restartNumberingAfterBreak="0">
    <w:nsid w:val="23C46939"/>
    <w:multiLevelType w:val="multilevel"/>
    <w:tmpl w:val="36341317"/>
    <w:name w:val="S list 1R"/>
    <w:lvl w:ilvl="0">
      <w:start w:val="1"/>
      <w:numFmt w:val="decimal"/>
      <w:lvlText w:val=""/>
      <w:lvlJc w:val="left"/>
    </w:lvl>
    <w:lvl w:ilvl="1">
      <w:start w:val="1"/>
      <w:numFmt w:val="decimal"/>
      <w:lvlText w:val="%2."/>
      <w:lvlJc w:val="left"/>
      <w:pPr>
        <w:tabs>
          <w:tab w:val="num" w:pos="680"/>
        </w:tabs>
        <w:ind w:left="680" w:hanging="680"/>
      </w:pPr>
    </w:lvl>
    <w:lvl w:ilvl="2">
      <w:start w:val="1"/>
      <w:numFmt w:val="decimal"/>
      <w:lvlText w:val="%3."/>
      <w:lvlJc w:val="left"/>
      <w:pPr>
        <w:tabs>
          <w:tab w:val="num" w:pos="1531"/>
        </w:tabs>
        <w:ind w:left="1531" w:hanging="851"/>
      </w:pPr>
    </w:lvl>
    <w:lvl w:ilvl="3">
      <w:start w:val="1"/>
      <w:numFmt w:val="decimal"/>
      <w:lvlText w:val="%4."/>
      <w:lvlJc w:val="left"/>
      <w:pPr>
        <w:tabs>
          <w:tab w:val="num" w:pos="1531"/>
        </w:tabs>
        <w:ind w:left="1531" w:hanging="851"/>
      </w:pPr>
    </w:lvl>
    <w:lvl w:ilvl="4">
      <w:start w:val="1"/>
      <w:numFmt w:val="decimal"/>
      <w:lvlText w:val="%5."/>
      <w:lvlJc w:val="left"/>
      <w:pPr>
        <w:tabs>
          <w:tab w:val="num" w:pos="2778"/>
        </w:tabs>
        <w:ind w:left="2778" w:hanging="1247"/>
      </w:pPr>
    </w:lvl>
    <w:lvl w:ilvl="5">
      <w:start w:val="1"/>
      <w:numFmt w:val="decimal"/>
      <w:lvlText w:val="%6."/>
      <w:lvlJc w:val="left"/>
      <w:pPr>
        <w:tabs>
          <w:tab w:val="num" w:pos="4025"/>
        </w:tabs>
        <w:ind w:left="4025" w:hanging="1247"/>
      </w:pPr>
    </w:lvl>
    <w:lvl w:ilvl="6">
      <w:start w:val="1"/>
      <w:numFmt w:val="decimal"/>
      <w:lvlText w:val="%7."/>
      <w:lvlJc w:val="left"/>
      <w:pPr>
        <w:tabs>
          <w:tab w:val="num" w:pos="4025"/>
        </w:tabs>
        <w:ind w:left="4025" w:hanging="1247"/>
      </w:pPr>
    </w:lvl>
    <w:lvl w:ilvl="7">
      <w:start w:val="1"/>
      <w:numFmt w:val="decimal"/>
      <w:lvlText w:val="%8."/>
      <w:lvlJc w:val="left"/>
      <w:pPr>
        <w:tabs>
          <w:tab w:val="num" w:pos="1814"/>
        </w:tabs>
        <w:ind w:left="1814" w:hanging="850"/>
      </w:pPr>
    </w:lvl>
    <w:lvl w:ilvl="8">
      <w:numFmt w:val="decimal"/>
      <w:lvlText w:val=""/>
      <w:lvlJc w:val="left"/>
    </w:lvl>
  </w:abstractNum>
  <w:abstractNum w:abstractNumId="18" w15:restartNumberingAfterBreak="0">
    <w:nsid w:val="23C47314"/>
    <w:multiLevelType w:val="multilevel"/>
    <w:tmpl w:val="36344015"/>
    <w:name w:val="S list A"/>
    <w:lvl w:ilvl="0">
      <w:start w:val="1"/>
      <w:numFmt w:val="upperLetter"/>
      <w:lvlText w:val=""/>
      <w:lvlJc w:val="left"/>
    </w:lvl>
    <w:lvl w:ilvl="1">
      <w:start w:val="1"/>
      <w:numFmt w:val="upperLetter"/>
      <w:lvlText w:val="(%2)"/>
      <w:lvlJc w:val="left"/>
      <w:pPr>
        <w:tabs>
          <w:tab w:val="num" w:pos="680"/>
        </w:tabs>
        <w:ind w:left="680" w:hanging="680"/>
      </w:pPr>
    </w:lvl>
    <w:lvl w:ilvl="2">
      <w:start w:val="1"/>
      <w:numFmt w:val="upperLetter"/>
      <w:lvlText w:val="(%3)"/>
      <w:lvlJc w:val="left"/>
      <w:pPr>
        <w:tabs>
          <w:tab w:val="num" w:pos="1531"/>
        </w:tabs>
        <w:ind w:left="1531" w:hanging="851"/>
      </w:pPr>
    </w:lvl>
    <w:lvl w:ilvl="3">
      <w:start w:val="1"/>
      <w:numFmt w:val="upperLetter"/>
      <w:lvlText w:val="(%4)"/>
      <w:lvlJc w:val="left"/>
      <w:pPr>
        <w:tabs>
          <w:tab w:val="num" w:pos="1531"/>
        </w:tabs>
        <w:ind w:left="1531" w:hanging="851"/>
      </w:pPr>
    </w:lvl>
    <w:lvl w:ilvl="4">
      <w:start w:val="1"/>
      <w:numFmt w:val="upperLetter"/>
      <w:lvlText w:val="(%5)"/>
      <w:lvlJc w:val="left"/>
      <w:pPr>
        <w:tabs>
          <w:tab w:val="num" w:pos="2778"/>
        </w:tabs>
        <w:ind w:left="2778" w:hanging="1247"/>
      </w:pPr>
    </w:lvl>
    <w:lvl w:ilvl="5">
      <w:numFmt w:val="decimal"/>
      <w:lvlText w:val="(%6)"/>
      <w:lvlJc w:val="left"/>
      <w:pPr>
        <w:tabs>
          <w:tab w:val="num" w:pos="4025"/>
        </w:tabs>
        <w:ind w:left="4025" w:hanging="1247"/>
      </w:pPr>
    </w:lvl>
    <w:lvl w:ilvl="6">
      <w:numFmt w:val="decimal"/>
      <w:lvlText w:val="(%7)"/>
      <w:lvlJc w:val="left"/>
      <w:pPr>
        <w:tabs>
          <w:tab w:val="num" w:pos="4025"/>
        </w:tabs>
        <w:ind w:left="4025" w:hanging="1247"/>
      </w:pPr>
    </w:lvl>
    <w:lvl w:ilvl="7">
      <w:start w:val="1"/>
      <w:numFmt w:val="upperLetter"/>
      <w:lvlText w:val="(%8)"/>
      <w:lvlJc w:val="left"/>
      <w:pPr>
        <w:tabs>
          <w:tab w:val="num" w:pos="1814"/>
        </w:tabs>
        <w:ind w:left="1814" w:hanging="850"/>
      </w:pPr>
    </w:lvl>
    <w:lvl w:ilvl="8">
      <w:numFmt w:val="decimal"/>
      <w:lvlText w:val=""/>
      <w:lvlJc w:val="left"/>
    </w:lvl>
  </w:abstractNum>
  <w:abstractNum w:abstractNumId="19" w15:restartNumberingAfterBreak="0">
    <w:nsid w:val="23C47319"/>
    <w:multiLevelType w:val="multilevel"/>
    <w:tmpl w:val="36344017"/>
    <w:name w:val="S list 1"/>
    <w:lvl w:ilvl="0">
      <w:start w:val="1"/>
      <w:numFmt w:val="decimal"/>
      <w:lvlText w:val=""/>
      <w:lvlJc w:val="left"/>
    </w:lvl>
    <w:lvl w:ilvl="1">
      <w:start w:val="1"/>
      <w:numFmt w:val="decimal"/>
      <w:lvlText w:val="%2."/>
      <w:lvlJc w:val="left"/>
      <w:pPr>
        <w:tabs>
          <w:tab w:val="num" w:pos="680"/>
        </w:tabs>
        <w:ind w:left="680" w:hanging="680"/>
      </w:pPr>
    </w:lvl>
    <w:lvl w:ilvl="2">
      <w:start w:val="1"/>
      <w:numFmt w:val="decimal"/>
      <w:lvlText w:val="%3."/>
      <w:lvlJc w:val="left"/>
      <w:pPr>
        <w:tabs>
          <w:tab w:val="num" w:pos="1531"/>
        </w:tabs>
        <w:ind w:left="1531" w:hanging="851"/>
      </w:pPr>
    </w:lvl>
    <w:lvl w:ilvl="3">
      <w:start w:val="1"/>
      <w:numFmt w:val="decimal"/>
      <w:lvlText w:val="%4."/>
      <w:lvlJc w:val="left"/>
      <w:pPr>
        <w:tabs>
          <w:tab w:val="num" w:pos="1531"/>
        </w:tabs>
        <w:ind w:left="1531" w:hanging="851"/>
      </w:pPr>
    </w:lvl>
    <w:lvl w:ilvl="4">
      <w:start w:val="1"/>
      <w:numFmt w:val="decimal"/>
      <w:lvlText w:val="%5."/>
      <w:lvlJc w:val="left"/>
      <w:pPr>
        <w:tabs>
          <w:tab w:val="num" w:pos="2778"/>
        </w:tabs>
        <w:ind w:left="2778" w:hanging="1247"/>
      </w:pPr>
    </w:lvl>
    <w:lvl w:ilvl="5">
      <w:start w:val="1"/>
      <w:numFmt w:val="decimal"/>
      <w:lvlText w:val="%6."/>
      <w:lvlJc w:val="left"/>
      <w:pPr>
        <w:tabs>
          <w:tab w:val="num" w:pos="4025"/>
        </w:tabs>
        <w:ind w:left="4025" w:hanging="1247"/>
      </w:pPr>
    </w:lvl>
    <w:lvl w:ilvl="6">
      <w:start w:val="1"/>
      <w:numFmt w:val="decimal"/>
      <w:lvlText w:val="%7."/>
      <w:lvlJc w:val="left"/>
      <w:pPr>
        <w:tabs>
          <w:tab w:val="num" w:pos="4025"/>
        </w:tabs>
        <w:ind w:left="4025" w:hanging="1247"/>
      </w:pPr>
    </w:lvl>
    <w:lvl w:ilvl="7">
      <w:start w:val="1"/>
      <w:numFmt w:val="decimal"/>
      <w:lvlText w:val="%8."/>
      <w:lvlJc w:val="left"/>
      <w:pPr>
        <w:tabs>
          <w:tab w:val="num" w:pos="1814"/>
        </w:tabs>
        <w:ind w:left="1814" w:hanging="850"/>
      </w:pPr>
    </w:lvl>
    <w:lvl w:ilvl="8">
      <w:numFmt w:val="decimal"/>
      <w:lvlText w:val=""/>
      <w:lvlJc w:val="left"/>
    </w:lvl>
  </w:abstractNum>
  <w:abstractNum w:abstractNumId="20" w15:restartNumberingAfterBreak="0">
    <w:nsid w:val="23C57319"/>
    <w:multiLevelType w:val="multilevel"/>
    <w:tmpl w:val="36344737"/>
    <w:name w:val="S list 1_arb"/>
    <w:lvl w:ilvl="0">
      <w:start w:val="1"/>
      <w:numFmt w:val="decimal"/>
      <w:lvlText w:val=""/>
      <w:lvlJc w:val="left"/>
    </w:lvl>
    <w:lvl w:ilvl="1">
      <w:start w:val="1"/>
      <w:numFmt w:val="decimal"/>
      <w:lvlText w:val="%2."/>
      <w:lvlJc w:val="left"/>
      <w:pPr>
        <w:tabs>
          <w:tab w:val="num" w:pos="851"/>
        </w:tabs>
        <w:ind w:left="851" w:hanging="851"/>
      </w:pPr>
    </w:lvl>
    <w:lvl w:ilvl="2">
      <w:start w:val="1"/>
      <w:numFmt w:val="decimal"/>
      <w:lvlText w:val="%3."/>
      <w:lvlJc w:val="left"/>
      <w:pPr>
        <w:tabs>
          <w:tab w:val="num" w:pos="1560"/>
        </w:tabs>
        <w:ind w:left="1560" w:hanging="709"/>
      </w:pPr>
    </w:lvl>
    <w:lvl w:ilvl="3">
      <w:start w:val="1"/>
      <w:numFmt w:val="decimal"/>
      <w:lvlText w:val="%4."/>
      <w:lvlJc w:val="left"/>
      <w:pPr>
        <w:tabs>
          <w:tab w:val="num" w:pos="2269"/>
        </w:tabs>
        <w:ind w:left="2269" w:hanging="1418"/>
      </w:pPr>
    </w:lvl>
    <w:lvl w:ilvl="4">
      <w:start w:val="1"/>
      <w:numFmt w:val="decimal"/>
      <w:lvlText w:val="%5."/>
      <w:lvlJc w:val="left"/>
      <w:pPr>
        <w:tabs>
          <w:tab w:val="num" w:pos="2269"/>
        </w:tabs>
        <w:ind w:left="2269" w:hanging="709"/>
      </w:pPr>
    </w:lvl>
    <w:lvl w:ilvl="5">
      <w:start w:val="1"/>
      <w:numFmt w:val="decimal"/>
      <w:lvlText w:val="%6."/>
      <w:lvlJc w:val="left"/>
      <w:pPr>
        <w:tabs>
          <w:tab w:val="num" w:pos="2978"/>
        </w:tabs>
        <w:ind w:left="2978" w:hanging="709"/>
      </w:pPr>
    </w:lvl>
    <w:lvl w:ilvl="6">
      <w:start w:val="1"/>
      <w:numFmt w:val="decimal"/>
      <w:lvlText w:val="%7."/>
      <w:lvlJc w:val="left"/>
      <w:pPr>
        <w:tabs>
          <w:tab w:val="num" w:pos="3687"/>
        </w:tabs>
        <w:ind w:left="3687" w:hanging="1418"/>
      </w:pPr>
    </w:lvl>
    <w:lvl w:ilvl="7">
      <w:start w:val="1"/>
      <w:numFmt w:val="decimal"/>
      <w:lvlText w:val="%8."/>
      <w:lvlJc w:val="left"/>
      <w:pPr>
        <w:tabs>
          <w:tab w:val="num" w:pos="3687"/>
        </w:tabs>
        <w:ind w:left="3687" w:hanging="709"/>
      </w:pPr>
    </w:lvl>
    <w:lvl w:ilvl="8">
      <w:numFmt w:val="decimal"/>
      <w:lvlText w:val=""/>
      <w:lvlJc w:val="left"/>
    </w:lvl>
  </w:abstractNum>
  <w:abstractNum w:abstractNumId="21" w15:restartNumberingAfterBreak="0">
    <w:nsid w:val="26430F02"/>
    <w:multiLevelType w:val="hybridMultilevel"/>
    <w:tmpl w:val="CBDAE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AA68AA"/>
    <w:multiLevelType w:val="hybridMultilevel"/>
    <w:tmpl w:val="42923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D57314"/>
    <w:multiLevelType w:val="multilevel"/>
    <w:tmpl w:val="26344011"/>
    <w:name w:val="S list i_arb"/>
    <w:lvl w:ilvl="0">
      <w:start w:val="1"/>
      <w:numFmt w:val="lowerRoman"/>
      <w:lvlText w:val=""/>
      <w:lvlJc w:val="left"/>
    </w:lvl>
    <w:lvl w:ilvl="1">
      <w:start w:val="1"/>
      <w:numFmt w:val="lowerRoman"/>
      <w:lvlText w:val="(%2)"/>
      <w:lvlJc w:val="left"/>
      <w:pPr>
        <w:tabs>
          <w:tab w:val="num" w:pos="851"/>
        </w:tabs>
        <w:ind w:left="851" w:hanging="851"/>
      </w:pPr>
    </w:lvl>
    <w:lvl w:ilvl="2">
      <w:start w:val="1"/>
      <w:numFmt w:val="lowerRoman"/>
      <w:lvlText w:val="(%3)"/>
      <w:lvlJc w:val="left"/>
      <w:pPr>
        <w:tabs>
          <w:tab w:val="num" w:pos="1560"/>
        </w:tabs>
        <w:ind w:left="1560" w:hanging="709"/>
      </w:pPr>
    </w:lvl>
    <w:lvl w:ilvl="3">
      <w:start w:val="1"/>
      <w:numFmt w:val="lowerRoman"/>
      <w:lvlText w:val="(%4)"/>
      <w:lvlJc w:val="left"/>
      <w:pPr>
        <w:tabs>
          <w:tab w:val="num" w:pos="2269"/>
        </w:tabs>
        <w:ind w:left="2269" w:hanging="1418"/>
      </w:pPr>
    </w:lvl>
    <w:lvl w:ilvl="4">
      <w:start w:val="1"/>
      <w:numFmt w:val="lowerRoman"/>
      <w:lvlText w:val="(%5)"/>
      <w:lvlJc w:val="left"/>
      <w:pPr>
        <w:tabs>
          <w:tab w:val="num" w:pos="2269"/>
        </w:tabs>
        <w:ind w:left="2269" w:hanging="709"/>
      </w:pPr>
    </w:lvl>
    <w:lvl w:ilvl="5">
      <w:start w:val="1"/>
      <w:numFmt w:val="lowerRoman"/>
      <w:lvlText w:val="(%6)"/>
      <w:lvlJc w:val="left"/>
      <w:pPr>
        <w:tabs>
          <w:tab w:val="num" w:pos="2978"/>
        </w:tabs>
        <w:ind w:left="2978" w:hanging="709"/>
      </w:pPr>
    </w:lvl>
    <w:lvl w:ilvl="6">
      <w:start w:val="1"/>
      <w:numFmt w:val="lowerRoman"/>
      <w:lvlText w:val="(%7)"/>
      <w:lvlJc w:val="left"/>
      <w:pPr>
        <w:tabs>
          <w:tab w:val="num" w:pos="3687"/>
        </w:tabs>
        <w:ind w:left="3687" w:hanging="1418"/>
      </w:pPr>
    </w:lvl>
    <w:lvl w:ilvl="7">
      <w:start w:val="1"/>
      <w:numFmt w:val="lowerRoman"/>
      <w:lvlText w:val="(%8)"/>
      <w:lvlJc w:val="left"/>
      <w:pPr>
        <w:tabs>
          <w:tab w:val="num" w:pos="3687"/>
        </w:tabs>
        <w:ind w:left="3687" w:hanging="709"/>
      </w:pPr>
    </w:lvl>
    <w:lvl w:ilvl="8">
      <w:numFmt w:val="decimal"/>
      <w:lvlText w:val=""/>
      <w:lvlJc w:val="left"/>
    </w:lvl>
  </w:abstractNum>
  <w:abstractNum w:abstractNumId="24" w15:restartNumberingAfterBreak="0">
    <w:nsid w:val="28F49314"/>
    <w:multiLevelType w:val="multilevel"/>
    <w:tmpl w:val="36344015"/>
    <w:name w:val="S list A_arb"/>
    <w:lvl w:ilvl="0">
      <w:start w:val="1"/>
      <w:numFmt w:val="upperLetter"/>
      <w:lvlText w:val=""/>
      <w:lvlJc w:val="left"/>
    </w:lvl>
    <w:lvl w:ilvl="1">
      <w:start w:val="1"/>
      <w:numFmt w:val="upperLetter"/>
      <w:lvlText w:val="(%2)"/>
      <w:lvlJc w:val="left"/>
      <w:pPr>
        <w:tabs>
          <w:tab w:val="num" w:pos="851"/>
        </w:tabs>
        <w:ind w:left="851" w:hanging="851"/>
      </w:pPr>
    </w:lvl>
    <w:lvl w:ilvl="2">
      <w:start w:val="1"/>
      <w:numFmt w:val="upperLetter"/>
      <w:lvlText w:val="(%3)"/>
      <w:lvlJc w:val="left"/>
      <w:pPr>
        <w:tabs>
          <w:tab w:val="num" w:pos="1560"/>
        </w:tabs>
        <w:ind w:left="1560" w:hanging="709"/>
      </w:pPr>
    </w:lvl>
    <w:lvl w:ilvl="3">
      <w:start w:val="1"/>
      <w:numFmt w:val="upperLetter"/>
      <w:lvlText w:val="(%4)"/>
      <w:lvlJc w:val="left"/>
      <w:pPr>
        <w:tabs>
          <w:tab w:val="num" w:pos="2269"/>
        </w:tabs>
        <w:ind w:left="2269" w:hanging="1418"/>
      </w:pPr>
    </w:lvl>
    <w:lvl w:ilvl="4">
      <w:start w:val="1"/>
      <w:numFmt w:val="upperLetter"/>
      <w:lvlText w:val="(%5)"/>
      <w:lvlJc w:val="left"/>
      <w:pPr>
        <w:tabs>
          <w:tab w:val="num" w:pos="2269"/>
        </w:tabs>
        <w:ind w:left="2269" w:hanging="709"/>
      </w:pPr>
    </w:lvl>
    <w:lvl w:ilvl="5">
      <w:start w:val="1"/>
      <w:numFmt w:val="upperLetter"/>
      <w:lvlText w:val="(%6)"/>
      <w:lvlJc w:val="left"/>
      <w:pPr>
        <w:tabs>
          <w:tab w:val="num" w:pos="2978"/>
        </w:tabs>
        <w:ind w:left="2978" w:hanging="709"/>
      </w:pPr>
    </w:lvl>
    <w:lvl w:ilvl="6">
      <w:start w:val="1"/>
      <w:numFmt w:val="upperLetter"/>
      <w:lvlText w:val="(%7)"/>
      <w:lvlJc w:val="left"/>
      <w:pPr>
        <w:tabs>
          <w:tab w:val="num" w:pos="3687"/>
        </w:tabs>
        <w:ind w:left="3687" w:hanging="1418"/>
      </w:pPr>
    </w:lvl>
    <w:lvl w:ilvl="7">
      <w:start w:val="1"/>
      <w:numFmt w:val="upperLetter"/>
      <w:lvlText w:val="(%8)"/>
      <w:lvlJc w:val="left"/>
      <w:pPr>
        <w:tabs>
          <w:tab w:val="num" w:pos="3687"/>
        </w:tabs>
        <w:ind w:left="3687" w:hanging="709"/>
      </w:pPr>
    </w:lvl>
    <w:lvl w:ilvl="8">
      <w:numFmt w:val="decimal"/>
      <w:lvlText w:val=""/>
      <w:lvlJc w:val="left"/>
    </w:lvl>
  </w:abstractNum>
  <w:abstractNum w:abstractNumId="25" w15:restartNumberingAfterBreak="0">
    <w:nsid w:val="29CD5E93"/>
    <w:multiLevelType w:val="hybridMultilevel"/>
    <w:tmpl w:val="E818A17A"/>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2B7A244F"/>
    <w:multiLevelType w:val="hybridMultilevel"/>
    <w:tmpl w:val="4F143274"/>
    <w:lvl w:ilvl="0" w:tplc="4F4A4570">
      <w:start w:val="1"/>
      <w:numFmt w:val="decimal"/>
      <w:lvlText w:val="%1)"/>
      <w:lvlJc w:val="left"/>
      <w:pPr>
        <w:ind w:left="435" w:hanging="360"/>
      </w:pPr>
      <w:rPr>
        <w:rFonts w:hint="default"/>
      </w:rPr>
    </w:lvl>
    <w:lvl w:ilvl="1" w:tplc="04020019" w:tentative="1">
      <w:start w:val="1"/>
      <w:numFmt w:val="lowerLetter"/>
      <w:lvlText w:val="%2."/>
      <w:lvlJc w:val="left"/>
      <w:pPr>
        <w:ind w:left="1155" w:hanging="360"/>
      </w:pPr>
    </w:lvl>
    <w:lvl w:ilvl="2" w:tplc="0402001B" w:tentative="1">
      <w:start w:val="1"/>
      <w:numFmt w:val="lowerRoman"/>
      <w:lvlText w:val="%3."/>
      <w:lvlJc w:val="right"/>
      <w:pPr>
        <w:ind w:left="1875" w:hanging="180"/>
      </w:pPr>
    </w:lvl>
    <w:lvl w:ilvl="3" w:tplc="0402000F" w:tentative="1">
      <w:start w:val="1"/>
      <w:numFmt w:val="decimal"/>
      <w:lvlText w:val="%4."/>
      <w:lvlJc w:val="left"/>
      <w:pPr>
        <w:ind w:left="2595" w:hanging="360"/>
      </w:pPr>
    </w:lvl>
    <w:lvl w:ilvl="4" w:tplc="04020019" w:tentative="1">
      <w:start w:val="1"/>
      <w:numFmt w:val="lowerLetter"/>
      <w:lvlText w:val="%5."/>
      <w:lvlJc w:val="left"/>
      <w:pPr>
        <w:ind w:left="3315" w:hanging="360"/>
      </w:pPr>
    </w:lvl>
    <w:lvl w:ilvl="5" w:tplc="0402001B" w:tentative="1">
      <w:start w:val="1"/>
      <w:numFmt w:val="lowerRoman"/>
      <w:lvlText w:val="%6."/>
      <w:lvlJc w:val="right"/>
      <w:pPr>
        <w:ind w:left="4035" w:hanging="180"/>
      </w:pPr>
    </w:lvl>
    <w:lvl w:ilvl="6" w:tplc="0402000F" w:tentative="1">
      <w:start w:val="1"/>
      <w:numFmt w:val="decimal"/>
      <w:lvlText w:val="%7."/>
      <w:lvlJc w:val="left"/>
      <w:pPr>
        <w:ind w:left="4755" w:hanging="360"/>
      </w:pPr>
    </w:lvl>
    <w:lvl w:ilvl="7" w:tplc="04020019" w:tentative="1">
      <w:start w:val="1"/>
      <w:numFmt w:val="lowerLetter"/>
      <w:lvlText w:val="%8."/>
      <w:lvlJc w:val="left"/>
      <w:pPr>
        <w:ind w:left="5475" w:hanging="360"/>
      </w:pPr>
    </w:lvl>
    <w:lvl w:ilvl="8" w:tplc="0402001B" w:tentative="1">
      <w:start w:val="1"/>
      <w:numFmt w:val="lowerRoman"/>
      <w:lvlText w:val="%9."/>
      <w:lvlJc w:val="right"/>
      <w:pPr>
        <w:ind w:left="6195" w:hanging="180"/>
      </w:pPr>
    </w:lvl>
  </w:abstractNum>
  <w:abstractNum w:abstractNumId="27" w15:restartNumberingAfterBreak="0">
    <w:nsid w:val="2BB02D83"/>
    <w:multiLevelType w:val="hybridMultilevel"/>
    <w:tmpl w:val="96B64DD2"/>
    <w:lvl w:ilvl="0" w:tplc="04020001">
      <w:start w:val="1"/>
      <w:numFmt w:val="bullet"/>
      <w:lvlText w:val=""/>
      <w:lvlJc w:val="left"/>
      <w:pPr>
        <w:ind w:left="720" w:hanging="360"/>
      </w:pPr>
      <w:rPr>
        <w:rFonts w:ascii="Symbol" w:hAnsi="Symbol" w:hint="default"/>
      </w:rPr>
    </w:lvl>
    <w:lvl w:ilvl="1" w:tplc="9E023BC4">
      <w:numFmt w:val="bullet"/>
      <w:lvlText w:val="•"/>
      <w:lvlJc w:val="left"/>
      <w:pPr>
        <w:ind w:left="1440" w:hanging="360"/>
      </w:pPr>
      <w:rPr>
        <w:rFonts w:ascii="Verdana" w:eastAsia="Times New Roman" w:hAnsi="Verdana"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4253978"/>
    <w:multiLevelType w:val="hybridMultilevel"/>
    <w:tmpl w:val="EB3CE47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15:restartNumberingAfterBreak="0">
    <w:nsid w:val="34456454"/>
    <w:multiLevelType w:val="multilevel"/>
    <w:tmpl w:val="63443951"/>
    <w:name w:val="S bullet"/>
    <w:lvl w:ilvl="0">
      <w:start w:val="1"/>
      <w:numFmt w:val="bullet"/>
      <w:lvlText w:val=""/>
      <w:lvlJc w:val="left"/>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531"/>
        </w:tabs>
        <w:ind w:left="1531" w:hanging="851"/>
      </w:pPr>
      <w:rPr>
        <w:rFonts w:ascii="Symbol" w:hAnsi="Symbol" w:hint="default"/>
      </w:rPr>
    </w:lvl>
    <w:lvl w:ilvl="3">
      <w:start w:val="1"/>
      <w:numFmt w:val="bullet"/>
      <w:lvlText w:val=""/>
      <w:lvlJc w:val="left"/>
      <w:pPr>
        <w:tabs>
          <w:tab w:val="num" w:pos="1531"/>
        </w:tabs>
        <w:ind w:left="1531" w:hanging="851"/>
      </w:pPr>
      <w:rPr>
        <w:rFonts w:ascii="Symbol" w:hAnsi="Symbol" w:hint="default"/>
      </w:rPr>
    </w:lvl>
    <w:lvl w:ilvl="4">
      <w:start w:val="1"/>
      <w:numFmt w:val="bullet"/>
      <w:lvlText w:val=""/>
      <w:lvlJc w:val="left"/>
      <w:pPr>
        <w:tabs>
          <w:tab w:val="num" w:pos="2778"/>
        </w:tabs>
        <w:ind w:left="2778" w:hanging="1247"/>
      </w:pPr>
      <w:rPr>
        <w:rFonts w:ascii="Symbol" w:hAnsi="Symbol" w:hint="default"/>
      </w:rPr>
    </w:lvl>
    <w:lvl w:ilvl="5">
      <w:start w:val="1"/>
      <w:numFmt w:val="bullet"/>
      <w:lvlText w:val=""/>
      <w:lvlJc w:val="left"/>
      <w:pPr>
        <w:tabs>
          <w:tab w:val="num" w:pos="4025"/>
        </w:tabs>
        <w:ind w:left="4025" w:hanging="1247"/>
      </w:pPr>
      <w:rPr>
        <w:rFonts w:ascii="Symbol" w:hAnsi="Symbol" w:hint="default"/>
      </w:rPr>
    </w:lvl>
    <w:lvl w:ilvl="6">
      <w:start w:val="1"/>
      <w:numFmt w:val="bullet"/>
      <w:lvlText w:val=""/>
      <w:lvlJc w:val="left"/>
      <w:pPr>
        <w:tabs>
          <w:tab w:val="num" w:pos="4025"/>
        </w:tabs>
        <w:ind w:left="4025" w:hanging="1247"/>
      </w:pPr>
      <w:rPr>
        <w:rFonts w:ascii="Symbol" w:hAnsi="Symbol" w:hint="default"/>
      </w:rPr>
    </w:lvl>
    <w:lvl w:ilvl="7">
      <w:start w:val="1"/>
      <w:numFmt w:val="bullet"/>
      <w:lvlText w:val=""/>
      <w:lvlJc w:val="left"/>
      <w:pPr>
        <w:tabs>
          <w:tab w:val="num" w:pos="1814"/>
        </w:tabs>
        <w:ind w:left="1814" w:hanging="850"/>
      </w:pPr>
      <w:rPr>
        <w:rFonts w:ascii="Symbol" w:hAnsi="Symbol" w:hint="default"/>
      </w:rPr>
    </w:lvl>
    <w:lvl w:ilvl="8">
      <w:numFmt w:val="decimal"/>
      <w:lvlText w:val=""/>
      <w:lvlJc w:val="left"/>
    </w:lvl>
  </w:abstractNum>
  <w:abstractNum w:abstractNumId="30" w15:restartNumberingAfterBreak="0">
    <w:nsid w:val="3A451254"/>
    <w:multiLevelType w:val="multilevel"/>
    <w:tmpl w:val="63113351"/>
    <w:name w:val="S dash"/>
    <w:lvl w:ilvl="0">
      <w:start w:val="1"/>
      <w:numFmt w:val="bullet"/>
      <w:lvlText w:val=""/>
      <w:lvlJc w:val="left"/>
    </w:lvl>
    <w:lvl w:ilvl="1">
      <w:start w:val="1"/>
      <w:numFmt w:val="bullet"/>
      <w:lvlText w:val="-"/>
      <w:lvlJc w:val="left"/>
      <w:pPr>
        <w:tabs>
          <w:tab w:val="num" w:pos="680"/>
        </w:tabs>
        <w:ind w:left="680" w:hanging="680"/>
      </w:pPr>
    </w:lvl>
    <w:lvl w:ilvl="2">
      <w:start w:val="1"/>
      <w:numFmt w:val="bullet"/>
      <w:lvlText w:val="-"/>
      <w:lvlJc w:val="left"/>
      <w:pPr>
        <w:tabs>
          <w:tab w:val="num" w:pos="1531"/>
        </w:tabs>
        <w:ind w:left="1531" w:hanging="851"/>
      </w:pPr>
    </w:lvl>
    <w:lvl w:ilvl="3">
      <w:start w:val="1"/>
      <w:numFmt w:val="bullet"/>
      <w:lvlText w:val="-"/>
      <w:lvlJc w:val="left"/>
      <w:pPr>
        <w:tabs>
          <w:tab w:val="num" w:pos="1531"/>
        </w:tabs>
        <w:ind w:left="1531" w:hanging="851"/>
      </w:pPr>
    </w:lvl>
    <w:lvl w:ilvl="4">
      <w:start w:val="1"/>
      <w:numFmt w:val="bullet"/>
      <w:lvlText w:val="-"/>
      <w:lvlJc w:val="left"/>
      <w:pPr>
        <w:tabs>
          <w:tab w:val="num" w:pos="2778"/>
        </w:tabs>
        <w:ind w:left="2778" w:hanging="1247"/>
      </w:pPr>
    </w:lvl>
    <w:lvl w:ilvl="5">
      <w:start w:val="1"/>
      <w:numFmt w:val="bullet"/>
      <w:lvlText w:val="-"/>
      <w:lvlJc w:val="left"/>
      <w:pPr>
        <w:tabs>
          <w:tab w:val="num" w:pos="4025"/>
        </w:tabs>
        <w:ind w:left="4025" w:hanging="1247"/>
      </w:pPr>
    </w:lvl>
    <w:lvl w:ilvl="6">
      <w:start w:val="1"/>
      <w:numFmt w:val="bullet"/>
      <w:lvlText w:val="-"/>
      <w:lvlJc w:val="left"/>
      <w:pPr>
        <w:tabs>
          <w:tab w:val="num" w:pos="4025"/>
        </w:tabs>
        <w:ind w:left="4025" w:hanging="1247"/>
      </w:pPr>
    </w:lvl>
    <w:lvl w:ilvl="7">
      <w:start w:val="1"/>
      <w:numFmt w:val="bullet"/>
      <w:lvlText w:val="-"/>
      <w:lvlJc w:val="left"/>
      <w:pPr>
        <w:tabs>
          <w:tab w:val="num" w:pos="1814"/>
        </w:tabs>
        <w:ind w:left="1814" w:hanging="850"/>
      </w:pPr>
    </w:lvl>
    <w:lvl w:ilvl="8">
      <w:numFmt w:val="decimal"/>
      <w:lvlText w:val=""/>
      <w:lvlJc w:val="left"/>
    </w:lvl>
  </w:abstractNum>
  <w:abstractNum w:abstractNumId="31" w15:restartNumberingAfterBreak="0">
    <w:nsid w:val="3B456474"/>
    <w:multiLevelType w:val="multilevel"/>
    <w:tmpl w:val="63443353"/>
    <w:name w:val="S bullet_arb"/>
    <w:lvl w:ilvl="0">
      <w:start w:val="1"/>
      <w:numFmt w:val="bullet"/>
      <w:lvlText w:val=""/>
      <w:lvlJc w:val="left"/>
    </w:lvl>
    <w:lvl w:ilvl="1">
      <w:start w:val="1"/>
      <w:numFmt w:val="bullet"/>
      <w:lvlText w:val=""/>
      <w:lvlJc w:val="left"/>
      <w:pPr>
        <w:tabs>
          <w:tab w:val="num" w:pos="851"/>
        </w:tabs>
        <w:ind w:left="851" w:hanging="851"/>
      </w:pPr>
      <w:rPr>
        <w:rFonts w:ascii="Symbol" w:hAnsi="Symbol" w:hint="default"/>
      </w:rPr>
    </w:lvl>
    <w:lvl w:ilvl="2">
      <w:start w:val="1"/>
      <w:numFmt w:val="bullet"/>
      <w:lvlText w:val=""/>
      <w:lvlJc w:val="left"/>
      <w:pPr>
        <w:tabs>
          <w:tab w:val="num" w:pos="1560"/>
        </w:tabs>
        <w:ind w:left="1560" w:hanging="709"/>
      </w:pPr>
      <w:rPr>
        <w:rFonts w:ascii="Symbol" w:hAnsi="Symbol" w:hint="default"/>
      </w:rPr>
    </w:lvl>
    <w:lvl w:ilvl="3">
      <w:start w:val="1"/>
      <w:numFmt w:val="bullet"/>
      <w:lvlText w:val=""/>
      <w:lvlJc w:val="left"/>
      <w:pPr>
        <w:tabs>
          <w:tab w:val="num" w:pos="2269"/>
        </w:tabs>
        <w:ind w:left="2269" w:hanging="1418"/>
      </w:pPr>
      <w:rPr>
        <w:rFonts w:ascii="Symbol" w:hAnsi="Symbol" w:hint="default"/>
      </w:rPr>
    </w:lvl>
    <w:lvl w:ilvl="4">
      <w:start w:val="1"/>
      <w:numFmt w:val="bullet"/>
      <w:lvlText w:val=""/>
      <w:lvlJc w:val="left"/>
      <w:pPr>
        <w:tabs>
          <w:tab w:val="num" w:pos="2269"/>
        </w:tabs>
        <w:ind w:left="2269" w:hanging="709"/>
      </w:pPr>
      <w:rPr>
        <w:rFonts w:ascii="Symbol" w:hAnsi="Symbol" w:hint="default"/>
      </w:rPr>
    </w:lvl>
    <w:lvl w:ilvl="5">
      <w:start w:val="1"/>
      <w:numFmt w:val="bullet"/>
      <w:lvlText w:val=""/>
      <w:lvlJc w:val="left"/>
      <w:pPr>
        <w:tabs>
          <w:tab w:val="num" w:pos="2978"/>
        </w:tabs>
        <w:ind w:left="2978" w:hanging="709"/>
      </w:pPr>
      <w:rPr>
        <w:rFonts w:ascii="Symbol" w:hAnsi="Symbol" w:hint="default"/>
      </w:rPr>
    </w:lvl>
    <w:lvl w:ilvl="6">
      <w:start w:val="1"/>
      <w:numFmt w:val="bullet"/>
      <w:lvlText w:val=""/>
      <w:lvlJc w:val="left"/>
      <w:pPr>
        <w:tabs>
          <w:tab w:val="num" w:pos="3687"/>
        </w:tabs>
        <w:ind w:left="3687" w:hanging="1418"/>
      </w:pPr>
      <w:rPr>
        <w:rFonts w:ascii="Symbol" w:hAnsi="Symbol" w:hint="default"/>
      </w:rPr>
    </w:lvl>
    <w:lvl w:ilvl="7">
      <w:start w:val="1"/>
      <w:numFmt w:val="bullet"/>
      <w:lvlText w:val=""/>
      <w:lvlJc w:val="left"/>
      <w:pPr>
        <w:tabs>
          <w:tab w:val="num" w:pos="3687"/>
        </w:tabs>
        <w:ind w:left="3687" w:hanging="709"/>
      </w:pPr>
      <w:rPr>
        <w:rFonts w:ascii="Symbol" w:hAnsi="Symbol" w:hint="default"/>
      </w:rPr>
    </w:lvl>
    <w:lvl w:ilvl="8">
      <w:numFmt w:val="decimal"/>
      <w:lvlText w:val=""/>
      <w:lvlJc w:val="left"/>
    </w:lvl>
  </w:abstractNum>
  <w:abstractNum w:abstractNumId="32" w15:restartNumberingAfterBreak="0">
    <w:nsid w:val="3D451254"/>
    <w:multiLevelType w:val="multilevel"/>
    <w:tmpl w:val="53863951"/>
    <w:name w:val="S dash_arb"/>
    <w:lvl w:ilvl="0">
      <w:start w:val="1"/>
      <w:numFmt w:val="bullet"/>
      <w:lvlText w:val=""/>
      <w:lvlJc w:val="left"/>
    </w:lvl>
    <w:lvl w:ilvl="1">
      <w:start w:val="1"/>
      <w:numFmt w:val="bullet"/>
      <w:lvlText w:val="-"/>
      <w:lvlJc w:val="left"/>
      <w:pPr>
        <w:tabs>
          <w:tab w:val="num" w:pos="851"/>
        </w:tabs>
        <w:ind w:left="851" w:hanging="851"/>
      </w:pPr>
    </w:lvl>
    <w:lvl w:ilvl="2">
      <w:start w:val="1"/>
      <w:numFmt w:val="bullet"/>
      <w:lvlText w:val="-"/>
      <w:lvlJc w:val="left"/>
      <w:pPr>
        <w:tabs>
          <w:tab w:val="num" w:pos="1560"/>
        </w:tabs>
        <w:ind w:left="1560" w:hanging="709"/>
      </w:pPr>
    </w:lvl>
    <w:lvl w:ilvl="3">
      <w:start w:val="1"/>
      <w:numFmt w:val="bullet"/>
      <w:lvlText w:val="-"/>
      <w:lvlJc w:val="left"/>
      <w:pPr>
        <w:tabs>
          <w:tab w:val="num" w:pos="2269"/>
        </w:tabs>
        <w:ind w:left="2269" w:hanging="1418"/>
      </w:pPr>
    </w:lvl>
    <w:lvl w:ilvl="4">
      <w:start w:val="1"/>
      <w:numFmt w:val="bullet"/>
      <w:lvlText w:val="-"/>
      <w:lvlJc w:val="left"/>
      <w:pPr>
        <w:tabs>
          <w:tab w:val="num" w:pos="2269"/>
        </w:tabs>
        <w:ind w:left="2269" w:hanging="709"/>
      </w:pPr>
    </w:lvl>
    <w:lvl w:ilvl="5">
      <w:start w:val="1"/>
      <w:numFmt w:val="bullet"/>
      <w:lvlText w:val="-"/>
      <w:lvlJc w:val="left"/>
      <w:pPr>
        <w:tabs>
          <w:tab w:val="num" w:pos="2978"/>
        </w:tabs>
        <w:ind w:left="2978" w:hanging="709"/>
      </w:pPr>
    </w:lvl>
    <w:lvl w:ilvl="6">
      <w:start w:val="1"/>
      <w:numFmt w:val="bullet"/>
      <w:lvlText w:val="-"/>
      <w:lvlJc w:val="left"/>
      <w:pPr>
        <w:tabs>
          <w:tab w:val="num" w:pos="3687"/>
        </w:tabs>
        <w:ind w:left="3687" w:hanging="1418"/>
      </w:pPr>
    </w:lvl>
    <w:lvl w:ilvl="7">
      <w:start w:val="1"/>
      <w:numFmt w:val="bullet"/>
      <w:lvlText w:val="-"/>
      <w:lvlJc w:val="left"/>
      <w:pPr>
        <w:tabs>
          <w:tab w:val="num" w:pos="3687"/>
        </w:tabs>
        <w:ind w:left="3687" w:hanging="709"/>
      </w:pPr>
    </w:lvl>
    <w:lvl w:ilvl="8">
      <w:numFmt w:val="decimal"/>
      <w:lvlText w:val=""/>
      <w:lvlJc w:val="left"/>
    </w:lvl>
  </w:abstractNum>
  <w:abstractNum w:abstractNumId="33" w15:restartNumberingAfterBreak="0">
    <w:nsid w:val="3F1B409E"/>
    <w:multiLevelType w:val="hybridMultilevel"/>
    <w:tmpl w:val="3A148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3DF0542"/>
    <w:multiLevelType w:val="multilevel"/>
    <w:tmpl w:val="B2167B12"/>
    <w:lvl w:ilvl="0">
      <w:start w:val="1"/>
      <w:numFmt w:val="decimal"/>
      <w:lvlText w:val="%1."/>
      <w:lvlJc w:val="left"/>
      <w:pPr>
        <w:ind w:left="720" w:hanging="360"/>
      </w:pPr>
      <w:rPr>
        <w:rFonts w:ascii="Times New Roman" w:hAnsi="Times New Roman" w:cs="Times New Roman" w:hint="default"/>
        <w:color w:val="000000" w:themeColor="text1"/>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4A2525FA"/>
    <w:multiLevelType w:val="hybridMultilevel"/>
    <w:tmpl w:val="4E36D7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4A47314"/>
    <w:multiLevelType w:val="singleLevel"/>
    <w:tmpl w:val="56344297"/>
    <w:name w:val="S marginal number"/>
    <w:lvl w:ilvl="0">
      <w:start w:val="1"/>
      <w:numFmt w:val="decimal"/>
      <w:pStyle w:val="Smarginalnumber"/>
      <w:lvlText w:val="%1"/>
      <w:lvlJc w:val="left"/>
      <w:pPr>
        <w:tabs>
          <w:tab w:val="num" w:pos="680"/>
        </w:tabs>
      </w:pPr>
    </w:lvl>
  </w:abstractNum>
  <w:abstractNum w:abstractNumId="37" w15:restartNumberingAfterBreak="0">
    <w:nsid w:val="55B47314"/>
    <w:multiLevelType w:val="singleLevel"/>
    <w:tmpl w:val="56344297"/>
    <w:name w:val="S marginal number_arb"/>
    <w:lvl w:ilvl="0">
      <w:start w:val="1"/>
      <w:numFmt w:val="decimal"/>
      <w:pStyle w:val="Smarginalnumberarb"/>
      <w:lvlText w:val="%1"/>
      <w:lvlJc w:val="left"/>
      <w:pPr>
        <w:tabs>
          <w:tab w:val="num" w:pos="851"/>
        </w:tabs>
      </w:pPr>
    </w:lvl>
  </w:abstractNum>
  <w:abstractNum w:abstractNumId="38" w15:restartNumberingAfterBreak="0">
    <w:nsid w:val="5CC37E13"/>
    <w:multiLevelType w:val="multilevel"/>
    <w:tmpl w:val="D1A0877C"/>
    <w:lvl w:ilvl="0">
      <w:start w:val="1"/>
      <w:numFmt w:val="decimal"/>
      <w:pStyle w:val="RRFMeasureH1"/>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lvl>
    <w:lvl w:ilvl="4">
      <w:start w:val="1"/>
      <w:numFmt w:val="decimal"/>
      <w:lvlText w:val="%1.%2.%3.%4.%5."/>
      <w:lvlJc w:val="left"/>
      <w:pPr>
        <w:tabs>
          <w:tab w:val="num" w:pos="680"/>
        </w:tabs>
        <w:ind w:left="680" w:hanging="680"/>
      </w:pPr>
    </w:lvl>
    <w:lvl w:ilvl="5">
      <w:start w:val="1"/>
      <w:numFmt w:val="decimal"/>
      <w:lvlText w:val="%1.%2.%3.%4.%5.%6."/>
      <w:lvlJc w:val="left"/>
      <w:pPr>
        <w:tabs>
          <w:tab w:val="num" w:pos="680"/>
        </w:tabs>
        <w:ind w:left="680" w:hanging="680"/>
      </w:pPr>
    </w:lvl>
    <w:lvl w:ilvl="6">
      <w:start w:val="1"/>
      <w:numFmt w:val="decimal"/>
      <w:lvlText w:val="%1.%2.%3.%4.%5.%6.%7."/>
      <w:lvlJc w:val="left"/>
      <w:pPr>
        <w:tabs>
          <w:tab w:val="num" w:pos="680"/>
        </w:tabs>
        <w:ind w:left="680" w:hanging="680"/>
      </w:pPr>
    </w:lvl>
    <w:lvl w:ilvl="7">
      <w:start w:val="1"/>
      <w:numFmt w:val="decimal"/>
      <w:lvlText w:val="%1.%2.%3.%4.%5.%6.%7.%8."/>
      <w:lvlJc w:val="left"/>
      <w:pPr>
        <w:tabs>
          <w:tab w:val="num" w:pos="680"/>
        </w:tabs>
        <w:ind w:left="680" w:hanging="680"/>
      </w:pPr>
    </w:lvl>
    <w:lvl w:ilvl="8">
      <w:start w:val="1"/>
      <w:numFmt w:val="decimal"/>
      <w:lvlText w:val="%1.%2.%3.%4.%5.%6.%7.%8.%9."/>
      <w:lvlJc w:val="left"/>
      <w:pPr>
        <w:tabs>
          <w:tab w:val="num" w:pos="680"/>
        </w:tabs>
        <w:ind w:left="680" w:hanging="680"/>
      </w:pPr>
    </w:lvl>
  </w:abstractNum>
  <w:abstractNum w:abstractNumId="39" w15:restartNumberingAfterBreak="0">
    <w:nsid w:val="62CC6AAB"/>
    <w:multiLevelType w:val="hybridMultilevel"/>
    <w:tmpl w:val="EB3CE47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0" w15:restartNumberingAfterBreak="0">
    <w:nsid w:val="671E396A"/>
    <w:multiLevelType w:val="hybridMultilevel"/>
    <w:tmpl w:val="ADAC5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783418"/>
    <w:multiLevelType w:val="hybridMultilevel"/>
    <w:tmpl w:val="8DBCD83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2" w15:restartNumberingAfterBreak="0">
    <w:nsid w:val="73974429"/>
    <w:multiLevelType w:val="hybridMultilevel"/>
    <w:tmpl w:val="4E265B22"/>
    <w:lvl w:ilvl="0" w:tplc="4CE8B90A">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7C1929AE"/>
    <w:multiLevelType w:val="multilevel"/>
    <w:tmpl w:val="77B6E738"/>
    <w:lvl w:ilvl="0">
      <w:start w:val="1"/>
      <w:numFmt w:val="bullet"/>
      <w:pStyle w:val="RRFBullet2"/>
      <w:lvlText w:val=""/>
      <w:lvlJc w:val="left"/>
      <w:pPr>
        <w:tabs>
          <w:tab w:val="num" w:pos="0"/>
        </w:tabs>
        <w:ind w:left="1040" w:hanging="360"/>
      </w:pPr>
      <w:rPr>
        <w:rFonts w:ascii="Wingdings" w:hAnsi="Wingdings" w:cs="Wingdings" w:hint="default"/>
      </w:rPr>
    </w:lvl>
    <w:lvl w:ilvl="1">
      <w:start w:val="1"/>
      <w:numFmt w:val="bullet"/>
      <w:lvlText w:val="o"/>
      <w:lvlJc w:val="left"/>
      <w:pPr>
        <w:tabs>
          <w:tab w:val="num" w:pos="0"/>
        </w:tabs>
        <w:ind w:left="1760" w:hanging="360"/>
      </w:pPr>
      <w:rPr>
        <w:rFonts w:ascii="Courier New" w:hAnsi="Courier New" w:cs="Courier New" w:hint="default"/>
      </w:rPr>
    </w:lvl>
    <w:lvl w:ilvl="2">
      <w:start w:val="1"/>
      <w:numFmt w:val="bullet"/>
      <w:lvlText w:val="▪"/>
      <w:lvlJc w:val="left"/>
      <w:pPr>
        <w:tabs>
          <w:tab w:val="num" w:pos="0"/>
        </w:tabs>
        <w:ind w:left="2480" w:hanging="360"/>
      </w:pPr>
      <w:rPr>
        <w:rFonts w:ascii="Noto Sans Symbols" w:hAnsi="Noto Sans Symbols" w:cs="Noto Sans Symbols" w:hint="default"/>
      </w:rPr>
    </w:lvl>
    <w:lvl w:ilvl="3">
      <w:start w:val="1"/>
      <w:numFmt w:val="bullet"/>
      <w:lvlText w:val="●"/>
      <w:lvlJc w:val="left"/>
      <w:pPr>
        <w:tabs>
          <w:tab w:val="num" w:pos="0"/>
        </w:tabs>
        <w:ind w:left="3200" w:hanging="360"/>
      </w:pPr>
      <w:rPr>
        <w:rFonts w:ascii="Noto Sans Symbols" w:hAnsi="Noto Sans Symbols" w:cs="Noto Sans Symbols" w:hint="default"/>
      </w:rPr>
    </w:lvl>
    <w:lvl w:ilvl="4">
      <w:start w:val="1"/>
      <w:numFmt w:val="bullet"/>
      <w:lvlText w:val="o"/>
      <w:lvlJc w:val="left"/>
      <w:pPr>
        <w:tabs>
          <w:tab w:val="num" w:pos="0"/>
        </w:tabs>
        <w:ind w:left="3920" w:hanging="360"/>
      </w:pPr>
      <w:rPr>
        <w:rFonts w:ascii="Courier New" w:hAnsi="Courier New" w:cs="Courier New" w:hint="default"/>
      </w:rPr>
    </w:lvl>
    <w:lvl w:ilvl="5">
      <w:start w:val="1"/>
      <w:numFmt w:val="bullet"/>
      <w:lvlText w:val="▪"/>
      <w:lvlJc w:val="left"/>
      <w:pPr>
        <w:tabs>
          <w:tab w:val="num" w:pos="0"/>
        </w:tabs>
        <w:ind w:left="4640" w:hanging="360"/>
      </w:pPr>
      <w:rPr>
        <w:rFonts w:ascii="Noto Sans Symbols" w:hAnsi="Noto Sans Symbols" w:cs="Noto Sans Symbols" w:hint="default"/>
      </w:rPr>
    </w:lvl>
    <w:lvl w:ilvl="6">
      <w:start w:val="1"/>
      <w:numFmt w:val="bullet"/>
      <w:lvlText w:val="●"/>
      <w:lvlJc w:val="left"/>
      <w:pPr>
        <w:tabs>
          <w:tab w:val="num" w:pos="0"/>
        </w:tabs>
        <w:ind w:left="5360" w:hanging="360"/>
      </w:pPr>
      <w:rPr>
        <w:rFonts w:ascii="Noto Sans Symbols" w:hAnsi="Noto Sans Symbols" w:cs="Noto Sans Symbols" w:hint="default"/>
      </w:rPr>
    </w:lvl>
    <w:lvl w:ilvl="7">
      <w:start w:val="1"/>
      <w:numFmt w:val="bullet"/>
      <w:lvlText w:val="o"/>
      <w:lvlJc w:val="left"/>
      <w:pPr>
        <w:tabs>
          <w:tab w:val="num" w:pos="0"/>
        </w:tabs>
        <w:ind w:left="6080" w:hanging="360"/>
      </w:pPr>
      <w:rPr>
        <w:rFonts w:ascii="Courier New" w:hAnsi="Courier New" w:cs="Courier New" w:hint="default"/>
      </w:rPr>
    </w:lvl>
    <w:lvl w:ilvl="8">
      <w:start w:val="1"/>
      <w:numFmt w:val="bullet"/>
      <w:lvlText w:val="▪"/>
      <w:lvlJc w:val="left"/>
      <w:pPr>
        <w:tabs>
          <w:tab w:val="num" w:pos="0"/>
        </w:tabs>
        <w:ind w:left="6800" w:hanging="360"/>
      </w:pPr>
      <w:rPr>
        <w:rFonts w:ascii="Noto Sans Symbols" w:hAnsi="Noto Sans Symbols" w:cs="Noto Sans Symbols" w:hint="default"/>
      </w:rPr>
    </w:lvl>
  </w:abstractNum>
  <w:num w:numId="1">
    <w:abstractNumId w:val="12"/>
  </w:num>
  <w:num w:numId="2">
    <w:abstractNumId w:val="13"/>
  </w:num>
  <w:num w:numId="3">
    <w:abstractNumId w:val="8"/>
  </w:num>
  <w:num w:numId="4">
    <w:abstractNumId w:val="9"/>
  </w:num>
  <w:num w:numId="5">
    <w:abstractNumId w:val="10"/>
  </w:num>
  <w:num w:numId="6">
    <w:abstractNumId w:val="7"/>
  </w:num>
  <w:num w:numId="7">
    <w:abstractNumId w:val="36"/>
  </w:num>
  <w:num w:numId="8">
    <w:abstractNumId w:val="37"/>
  </w:num>
  <w:num w:numId="9">
    <w:abstractNumId w:val="1"/>
  </w:num>
  <w:num w:numId="10">
    <w:abstractNumId w:val="27"/>
  </w:num>
  <w:num w:numId="11">
    <w:abstractNumId w:val="26"/>
  </w:num>
  <w:num w:numId="12">
    <w:abstractNumId w:val="35"/>
  </w:num>
  <w:num w:numId="13">
    <w:abstractNumId w:val="38"/>
  </w:num>
  <w:num w:numId="14">
    <w:abstractNumId w:val="4"/>
  </w:num>
  <w:num w:numId="15">
    <w:abstractNumId w:val="43"/>
  </w:num>
  <w:num w:numId="16">
    <w:abstractNumId w:val="33"/>
  </w:num>
  <w:num w:numId="17">
    <w:abstractNumId w:val="21"/>
  </w:num>
  <w:num w:numId="18">
    <w:abstractNumId w:val="22"/>
  </w:num>
  <w:num w:numId="19">
    <w:abstractNumId w:val="6"/>
  </w:num>
  <w:num w:numId="20">
    <w:abstractNumId w:val="40"/>
  </w:num>
  <w:num w:numId="21">
    <w:abstractNumId w:val="25"/>
  </w:num>
  <w:num w:numId="22">
    <w:abstractNumId w:val="5"/>
  </w:num>
  <w:num w:numId="23">
    <w:abstractNumId w:val="1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num>
  <w:num w:numId="27">
    <w:abstractNumId w:val="41"/>
  </w:num>
  <w:num w:numId="28">
    <w:abstractNumId w:val="0"/>
  </w:num>
  <w:num w:numId="29">
    <w:abstractNumId w:val="42"/>
  </w:num>
  <w:num w:numId="30">
    <w:abstractNumId w:val="34"/>
  </w:num>
  <w:num w:numId="31">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activeWritingStyle w:appName="MSWord" w:lang="de-AT" w:vendorID="64" w:dllVersion="6" w:nlCheck="1" w:checkStyle="0"/>
  <w:activeWritingStyle w:appName="MSWord" w:lang="en-US" w:vendorID="64" w:dllVersion="0" w:nlCheck="1" w:checkStyle="0"/>
  <w:activeWritingStyle w:appName="MSWord" w:lang="en-US" w:vendorID="64" w:dllVersion="131078" w:nlCheck="1" w:checkStyle="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trackRevisions/>
  <w:defaultTabStop w:val="709"/>
  <w:autoHyphenation/>
  <w:hyphenationZone w:val="142"/>
  <w:doNotHyphenateCaps/>
  <w:drawingGridHorizontalSpacing w:val="57"/>
  <w:drawingGridVerticalSpacing w:val="57"/>
  <w:displayHorizont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RAFTER_VERSION" w:val="3.40"/>
    <w:docVar w:name="DOCDRAFTERREINDEX" w:val="NO"/>
    <w:docVar w:name="DOCDRAFTERTASKPANE" w:val="4a758959-4005-49e2-b12e-cc3726bc675b"/>
    <w:docVar w:name="VERSIONDETAIL" w:val="0"/>
  </w:docVars>
  <w:rsids>
    <w:rsidRoot w:val="003F1496"/>
    <w:rsid w:val="0000068B"/>
    <w:rsid w:val="00000C10"/>
    <w:rsid w:val="000031FA"/>
    <w:rsid w:val="00003516"/>
    <w:rsid w:val="000037BD"/>
    <w:rsid w:val="000068FE"/>
    <w:rsid w:val="00006D5F"/>
    <w:rsid w:val="0001164B"/>
    <w:rsid w:val="000117CB"/>
    <w:rsid w:val="00011957"/>
    <w:rsid w:val="00011CE1"/>
    <w:rsid w:val="00012C3A"/>
    <w:rsid w:val="00013439"/>
    <w:rsid w:val="00013A6E"/>
    <w:rsid w:val="00021FD8"/>
    <w:rsid w:val="00022116"/>
    <w:rsid w:val="00022B0F"/>
    <w:rsid w:val="00023271"/>
    <w:rsid w:val="00023377"/>
    <w:rsid w:val="00023A70"/>
    <w:rsid w:val="0002461E"/>
    <w:rsid w:val="0002533B"/>
    <w:rsid w:val="0002673F"/>
    <w:rsid w:val="0003049C"/>
    <w:rsid w:val="00034967"/>
    <w:rsid w:val="000358C3"/>
    <w:rsid w:val="00037A0B"/>
    <w:rsid w:val="00044196"/>
    <w:rsid w:val="000447B5"/>
    <w:rsid w:val="00046DA8"/>
    <w:rsid w:val="00047EA3"/>
    <w:rsid w:val="00050045"/>
    <w:rsid w:val="000517B6"/>
    <w:rsid w:val="00052EDA"/>
    <w:rsid w:val="0005442D"/>
    <w:rsid w:val="000544DD"/>
    <w:rsid w:val="000545D2"/>
    <w:rsid w:val="00054C2F"/>
    <w:rsid w:val="000562E9"/>
    <w:rsid w:val="00060E40"/>
    <w:rsid w:val="000625C7"/>
    <w:rsid w:val="00063D20"/>
    <w:rsid w:val="00064855"/>
    <w:rsid w:val="00065BBA"/>
    <w:rsid w:val="000671F2"/>
    <w:rsid w:val="00067260"/>
    <w:rsid w:val="0006759A"/>
    <w:rsid w:val="0007107E"/>
    <w:rsid w:val="00071867"/>
    <w:rsid w:val="00072E76"/>
    <w:rsid w:val="0007338D"/>
    <w:rsid w:val="000734A0"/>
    <w:rsid w:val="000738EF"/>
    <w:rsid w:val="000738F8"/>
    <w:rsid w:val="0007396F"/>
    <w:rsid w:val="00076F2B"/>
    <w:rsid w:val="0008057B"/>
    <w:rsid w:val="00080784"/>
    <w:rsid w:val="0008406D"/>
    <w:rsid w:val="00084D85"/>
    <w:rsid w:val="00086F51"/>
    <w:rsid w:val="00090978"/>
    <w:rsid w:val="0009386A"/>
    <w:rsid w:val="00094D4F"/>
    <w:rsid w:val="000961BE"/>
    <w:rsid w:val="000965E2"/>
    <w:rsid w:val="00096C3E"/>
    <w:rsid w:val="000A29D1"/>
    <w:rsid w:val="000A3385"/>
    <w:rsid w:val="000A3729"/>
    <w:rsid w:val="000A3900"/>
    <w:rsid w:val="000A6794"/>
    <w:rsid w:val="000A7A4F"/>
    <w:rsid w:val="000B0D77"/>
    <w:rsid w:val="000B1552"/>
    <w:rsid w:val="000B2A1E"/>
    <w:rsid w:val="000B3E9B"/>
    <w:rsid w:val="000B56F6"/>
    <w:rsid w:val="000B589A"/>
    <w:rsid w:val="000C1B2C"/>
    <w:rsid w:val="000C1D76"/>
    <w:rsid w:val="000C2966"/>
    <w:rsid w:val="000C3468"/>
    <w:rsid w:val="000C5154"/>
    <w:rsid w:val="000C5163"/>
    <w:rsid w:val="000C527A"/>
    <w:rsid w:val="000C56B2"/>
    <w:rsid w:val="000C5E19"/>
    <w:rsid w:val="000C64AD"/>
    <w:rsid w:val="000C7338"/>
    <w:rsid w:val="000C765B"/>
    <w:rsid w:val="000D06A8"/>
    <w:rsid w:val="000D0EAE"/>
    <w:rsid w:val="000D1B9B"/>
    <w:rsid w:val="000D5FD3"/>
    <w:rsid w:val="000D74A1"/>
    <w:rsid w:val="000D7690"/>
    <w:rsid w:val="000E037F"/>
    <w:rsid w:val="000E0525"/>
    <w:rsid w:val="000E067F"/>
    <w:rsid w:val="000E0830"/>
    <w:rsid w:val="000E0F8D"/>
    <w:rsid w:val="000E18E6"/>
    <w:rsid w:val="000E2075"/>
    <w:rsid w:val="000E3024"/>
    <w:rsid w:val="000E36BF"/>
    <w:rsid w:val="000E48B5"/>
    <w:rsid w:val="000E48FB"/>
    <w:rsid w:val="000E7202"/>
    <w:rsid w:val="000E75D8"/>
    <w:rsid w:val="000F3105"/>
    <w:rsid w:val="000F777B"/>
    <w:rsid w:val="0010035C"/>
    <w:rsid w:val="00101162"/>
    <w:rsid w:val="001039F0"/>
    <w:rsid w:val="00105B5A"/>
    <w:rsid w:val="00106192"/>
    <w:rsid w:val="0011115D"/>
    <w:rsid w:val="001148E7"/>
    <w:rsid w:val="00117A56"/>
    <w:rsid w:val="00120508"/>
    <w:rsid w:val="00122A1C"/>
    <w:rsid w:val="00122A52"/>
    <w:rsid w:val="00122D57"/>
    <w:rsid w:val="00124505"/>
    <w:rsid w:val="001265FE"/>
    <w:rsid w:val="00126675"/>
    <w:rsid w:val="0012676C"/>
    <w:rsid w:val="00130522"/>
    <w:rsid w:val="0013228F"/>
    <w:rsid w:val="00132698"/>
    <w:rsid w:val="001330A6"/>
    <w:rsid w:val="00133166"/>
    <w:rsid w:val="00134DDC"/>
    <w:rsid w:val="00134E5D"/>
    <w:rsid w:val="00134FBD"/>
    <w:rsid w:val="00135B88"/>
    <w:rsid w:val="001366A3"/>
    <w:rsid w:val="00136783"/>
    <w:rsid w:val="00137B1D"/>
    <w:rsid w:val="00137D37"/>
    <w:rsid w:val="00140446"/>
    <w:rsid w:val="00141A46"/>
    <w:rsid w:val="001427A0"/>
    <w:rsid w:val="001437E1"/>
    <w:rsid w:val="00143965"/>
    <w:rsid w:val="00144357"/>
    <w:rsid w:val="00146216"/>
    <w:rsid w:val="00146572"/>
    <w:rsid w:val="00146CB3"/>
    <w:rsid w:val="00146DCB"/>
    <w:rsid w:val="001512E1"/>
    <w:rsid w:val="00152220"/>
    <w:rsid w:val="0015278E"/>
    <w:rsid w:val="00153665"/>
    <w:rsid w:val="001539E0"/>
    <w:rsid w:val="00153AAB"/>
    <w:rsid w:val="00153B53"/>
    <w:rsid w:val="0015480E"/>
    <w:rsid w:val="001550D7"/>
    <w:rsid w:val="001614A9"/>
    <w:rsid w:val="001619D6"/>
    <w:rsid w:val="00162E86"/>
    <w:rsid w:val="00164F57"/>
    <w:rsid w:val="00165D0A"/>
    <w:rsid w:val="00167873"/>
    <w:rsid w:val="00170515"/>
    <w:rsid w:val="00170885"/>
    <w:rsid w:val="00170995"/>
    <w:rsid w:val="00171C7A"/>
    <w:rsid w:val="0017416B"/>
    <w:rsid w:val="0017730B"/>
    <w:rsid w:val="00180F1B"/>
    <w:rsid w:val="00181B91"/>
    <w:rsid w:val="00182ADB"/>
    <w:rsid w:val="0018317C"/>
    <w:rsid w:val="00184F99"/>
    <w:rsid w:val="001867D6"/>
    <w:rsid w:val="0018681A"/>
    <w:rsid w:val="00186CB1"/>
    <w:rsid w:val="00187C8C"/>
    <w:rsid w:val="00190011"/>
    <w:rsid w:val="00190A0C"/>
    <w:rsid w:val="00190C10"/>
    <w:rsid w:val="0019208A"/>
    <w:rsid w:val="00193088"/>
    <w:rsid w:val="00194BB3"/>
    <w:rsid w:val="00195854"/>
    <w:rsid w:val="00195C44"/>
    <w:rsid w:val="00196A62"/>
    <w:rsid w:val="001A0143"/>
    <w:rsid w:val="001A1B45"/>
    <w:rsid w:val="001A3013"/>
    <w:rsid w:val="001A38C7"/>
    <w:rsid w:val="001A576F"/>
    <w:rsid w:val="001A588E"/>
    <w:rsid w:val="001A5F8A"/>
    <w:rsid w:val="001A78B3"/>
    <w:rsid w:val="001B07C2"/>
    <w:rsid w:val="001B09B0"/>
    <w:rsid w:val="001B0DFE"/>
    <w:rsid w:val="001B1B00"/>
    <w:rsid w:val="001B28CD"/>
    <w:rsid w:val="001B3DE5"/>
    <w:rsid w:val="001B75EC"/>
    <w:rsid w:val="001C07E6"/>
    <w:rsid w:val="001C0A95"/>
    <w:rsid w:val="001C2388"/>
    <w:rsid w:val="001C6209"/>
    <w:rsid w:val="001C7529"/>
    <w:rsid w:val="001D16A4"/>
    <w:rsid w:val="001D1BA6"/>
    <w:rsid w:val="001D1DE2"/>
    <w:rsid w:val="001D28DD"/>
    <w:rsid w:val="001D442C"/>
    <w:rsid w:val="001D5963"/>
    <w:rsid w:val="001D5970"/>
    <w:rsid w:val="001D6051"/>
    <w:rsid w:val="001D643A"/>
    <w:rsid w:val="001D7468"/>
    <w:rsid w:val="001D7FAB"/>
    <w:rsid w:val="001E12F8"/>
    <w:rsid w:val="001E1B33"/>
    <w:rsid w:val="001E75B8"/>
    <w:rsid w:val="001E7829"/>
    <w:rsid w:val="001E791C"/>
    <w:rsid w:val="001E7CAF"/>
    <w:rsid w:val="001F062D"/>
    <w:rsid w:val="001F2E64"/>
    <w:rsid w:val="001F2F0E"/>
    <w:rsid w:val="001F304D"/>
    <w:rsid w:val="001F3996"/>
    <w:rsid w:val="001F3BE4"/>
    <w:rsid w:val="001F46FA"/>
    <w:rsid w:val="001F67C4"/>
    <w:rsid w:val="001F73F9"/>
    <w:rsid w:val="002009EF"/>
    <w:rsid w:val="002015CF"/>
    <w:rsid w:val="00203396"/>
    <w:rsid w:val="00203519"/>
    <w:rsid w:val="00204DD4"/>
    <w:rsid w:val="00205AA1"/>
    <w:rsid w:val="00205B76"/>
    <w:rsid w:val="00207C41"/>
    <w:rsid w:val="002100FA"/>
    <w:rsid w:val="002105C8"/>
    <w:rsid w:val="00210697"/>
    <w:rsid w:val="0021090F"/>
    <w:rsid w:val="002109FB"/>
    <w:rsid w:val="002131F4"/>
    <w:rsid w:val="00214B3C"/>
    <w:rsid w:val="002200B1"/>
    <w:rsid w:val="00223C7D"/>
    <w:rsid w:val="0022453B"/>
    <w:rsid w:val="0022485B"/>
    <w:rsid w:val="00226114"/>
    <w:rsid w:val="0023091A"/>
    <w:rsid w:val="002315EA"/>
    <w:rsid w:val="00231F22"/>
    <w:rsid w:val="0023215C"/>
    <w:rsid w:val="00232808"/>
    <w:rsid w:val="0023647A"/>
    <w:rsid w:val="00241953"/>
    <w:rsid w:val="00242218"/>
    <w:rsid w:val="00242C48"/>
    <w:rsid w:val="00244BA2"/>
    <w:rsid w:val="00244C88"/>
    <w:rsid w:val="00244CF6"/>
    <w:rsid w:val="002453BD"/>
    <w:rsid w:val="0024696A"/>
    <w:rsid w:val="00247BFD"/>
    <w:rsid w:val="002500BD"/>
    <w:rsid w:val="0025096B"/>
    <w:rsid w:val="00252989"/>
    <w:rsid w:val="00253B44"/>
    <w:rsid w:val="00254CD9"/>
    <w:rsid w:val="00261C81"/>
    <w:rsid w:val="00264821"/>
    <w:rsid w:val="0027010E"/>
    <w:rsid w:val="00270E9A"/>
    <w:rsid w:val="0027144D"/>
    <w:rsid w:val="0027174A"/>
    <w:rsid w:val="00274969"/>
    <w:rsid w:val="00276596"/>
    <w:rsid w:val="00276AE0"/>
    <w:rsid w:val="00282623"/>
    <w:rsid w:val="00282CC8"/>
    <w:rsid w:val="00283BEF"/>
    <w:rsid w:val="00284E28"/>
    <w:rsid w:val="00287963"/>
    <w:rsid w:val="00290188"/>
    <w:rsid w:val="00290CF9"/>
    <w:rsid w:val="002912D4"/>
    <w:rsid w:val="0029297B"/>
    <w:rsid w:val="00294350"/>
    <w:rsid w:val="002948ED"/>
    <w:rsid w:val="00294D25"/>
    <w:rsid w:val="00294E00"/>
    <w:rsid w:val="002954DD"/>
    <w:rsid w:val="00295571"/>
    <w:rsid w:val="002957CC"/>
    <w:rsid w:val="00297387"/>
    <w:rsid w:val="002A005F"/>
    <w:rsid w:val="002A1BEC"/>
    <w:rsid w:val="002A1D08"/>
    <w:rsid w:val="002A3938"/>
    <w:rsid w:val="002A3A6B"/>
    <w:rsid w:val="002A3BC0"/>
    <w:rsid w:val="002A475B"/>
    <w:rsid w:val="002A70D6"/>
    <w:rsid w:val="002B0C5E"/>
    <w:rsid w:val="002B0FA7"/>
    <w:rsid w:val="002B102E"/>
    <w:rsid w:val="002B1215"/>
    <w:rsid w:val="002B1D48"/>
    <w:rsid w:val="002B2989"/>
    <w:rsid w:val="002B3A20"/>
    <w:rsid w:val="002B4A06"/>
    <w:rsid w:val="002B4D1A"/>
    <w:rsid w:val="002B5DB3"/>
    <w:rsid w:val="002B6F30"/>
    <w:rsid w:val="002C01ED"/>
    <w:rsid w:val="002C0B7C"/>
    <w:rsid w:val="002C0BC8"/>
    <w:rsid w:val="002C1D75"/>
    <w:rsid w:val="002C29FE"/>
    <w:rsid w:val="002C4207"/>
    <w:rsid w:val="002C4738"/>
    <w:rsid w:val="002C52D6"/>
    <w:rsid w:val="002C61C0"/>
    <w:rsid w:val="002C77F0"/>
    <w:rsid w:val="002D1D1C"/>
    <w:rsid w:val="002D2553"/>
    <w:rsid w:val="002D2F52"/>
    <w:rsid w:val="002D38C9"/>
    <w:rsid w:val="002D39E5"/>
    <w:rsid w:val="002D3CAF"/>
    <w:rsid w:val="002D3CB7"/>
    <w:rsid w:val="002D4688"/>
    <w:rsid w:val="002D5934"/>
    <w:rsid w:val="002D63FF"/>
    <w:rsid w:val="002E1C85"/>
    <w:rsid w:val="002E47B0"/>
    <w:rsid w:val="002F184A"/>
    <w:rsid w:val="002F37CB"/>
    <w:rsid w:val="002F40DC"/>
    <w:rsid w:val="002F5DE2"/>
    <w:rsid w:val="002F6287"/>
    <w:rsid w:val="002F7D7F"/>
    <w:rsid w:val="003002C8"/>
    <w:rsid w:val="003002DD"/>
    <w:rsid w:val="00300479"/>
    <w:rsid w:val="00301439"/>
    <w:rsid w:val="00301F97"/>
    <w:rsid w:val="00303B87"/>
    <w:rsid w:val="00305511"/>
    <w:rsid w:val="003072D4"/>
    <w:rsid w:val="003078CE"/>
    <w:rsid w:val="00310EBA"/>
    <w:rsid w:val="0031153E"/>
    <w:rsid w:val="0031353C"/>
    <w:rsid w:val="00313732"/>
    <w:rsid w:val="00313B0E"/>
    <w:rsid w:val="00314F79"/>
    <w:rsid w:val="00315BD9"/>
    <w:rsid w:val="00316645"/>
    <w:rsid w:val="0032004F"/>
    <w:rsid w:val="003200A5"/>
    <w:rsid w:val="0032287C"/>
    <w:rsid w:val="00323BB6"/>
    <w:rsid w:val="00323EEA"/>
    <w:rsid w:val="00324B90"/>
    <w:rsid w:val="00324BAC"/>
    <w:rsid w:val="00325431"/>
    <w:rsid w:val="003258CA"/>
    <w:rsid w:val="00325ABA"/>
    <w:rsid w:val="003269D8"/>
    <w:rsid w:val="003272C5"/>
    <w:rsid w:val="00327F81"/>
    <w:rsid w:val="003306EF"/>
    <w:rsid w:val="003328E1"/>
    <w:rsid w:val="00332C06"/>
    <w:rsid w:val="003341EB"/>
    <w:rsid w:val="003349DE"/>
    <w:rsid w:val="00334A20"/>
    <w:rsid w:val="00335A03"/>
    <w:rsid w:val="00335EAC"/>
    <w:rsid w:val="00337162"/>
    <w:rsid w:val="00340075"/>
    <w:rsid w:val="0034019E"/>
    <w:rsid w:val="0034031B"/>
    <w:rsid w:val="0034078F"/>
    <w:rsid w:val="00341031"/>
    <w:rsid w:val="00342016"/>
    <w:rsid w:val="0034446C"/>
    <w:rsid w:val="00344A69"/>
    <w:rsid w:val="00344DAC"/>
    <w:rsid w:val="003466ED"/>
    <w:rsid w:val="00346EA6"/>
    <w:rsid w:val="003474BD"/>
    <w:rsid w:val="00347FE5"/>
    <w:rsid w:val="003516C4"/>
    <w:rsid w:val="00351FA9"/>
    <w:rsid w:val="00352AC4"/>
    <w:rsid w:val="00353463"/>
    <w:rsid w:val="00353906"/>
    <w:rsid w:val="00353C06"/>
    <w:rsid w:val="00355077"/>
    <w:rsid w:val="003553F0"/>
    <w:rsid w:val="00355EFA"/>
    <w:rsid w:val="00357AFB"/>
    <w:rsid w:val="00357CB6"/>
    <w:rsid w:val="003604C8"/>
    <w:rsid w:val="003609F9"/>
    <w:rsid w:val="003618FD"/>
    <w:rsid w:val="00362E07"/>
    <w:rsid w:val="00363697"/>
    <w:rsid w:val="00364008"/>
    <w:rsid w:val="00364198"/>
    <w:rsid w:val="0036420B"/>
    <w:rsid w:val="0036503F"/>
    <w:rsid w:val="003651E0"/>
    <w:rsid w:val="003664AE"/>
    <w:rsid w:val="003670C9"/>
    <w:rsid w:val="0036723F"/>
    <w:rsid w:val="0036799D"/>
    <w:rsid w:val="00367E76"/>
    <w:rsid w:val="0037075F"/>
    <w:rsid w:val="00372530"/>
    <w:rsid w:val="0037362B"/>
    <w:rsid w:val="00373D3A"/>
    <w:rsid w:val="00375404"/>
    <w:rsid w:val="003760EA"/>
    <w:rsid w:val="0037673D"/>
    <w:rsid w:val="00376AB3"/>
    <w:rsid w:val="00377D0D"/>
    <w:rsid w:val="00381B92"/>
    <w:rsid w:val="003835A8"/>
    <w:rsid w:val="00385E3C"/>
    <w:rsid w:val="003877B0"/>
    <w:rsid w:val="00387AB0"/>
    <w:rsid w:val="003918B2"/>
    <w:rsid w:val="00392204"/>
    <w:rsid w:val="0039269B"/>
    <w:rsid w:val="00392FC5"/>
    <w:rsid w:val="00393EE3"/>
    <w:rsid w:val="003957AE"/>
    <w:rsid w:val="00397287"/>
    <w:rsid w:val="003973AD"/>
    <w:rsid w:val="003A07EC"/>
    <w:rsid w:val="003A1AAB"/>
    <w:rsid w:val="003A1B73"/>
    <w:rsid w:val="003A217B"/>
    <w:rsid w:val="003A3F49"/>
    <w:rsid w:val="003A4297"/>
    <w:rsid w:val="003A47A5"/>
    <w:rsid w:val="003A489D"/>
    <w:rsid w:val="003A56B9"/>
    <w:rsid w:val="003A5EE7"/>
    <w:rsid w:val="003A63C9"/>
    <w:rsid w:val="003A7D38"/>
    <w:rsid w:val="003A7E2A"/>
    <w:rsid w:val="003B149E"/>
    <w:rsid w:val="003B2543"/>
    <w:rsid w:val="003B3A5A"/>
    <w:rsid w:val="003B7838"/>
    <w:rsid w:val="003B78B4"/>
    <w:rsid w:val="003C00D5"/>
    <w:rsid w:val="003C260B"/>
    <w:rsid w:val="003C2A57"/>
    <w:rsid w:val="003C303B"/>
    <w:rsid w:val="003C75B9"/>
    <w:rsid w:val="003C7B46"/>
    <w:rsid w:val="003D0DD1"/>
    <w:rsid w:val="003D2419"/>
    <w:rsid w:val="003D3256"/>
    <w:rsid w:val="003D41EF"/>
    <w:rsid w:val="003D49A4"/>
    <w:rsid w:val="003D5309"/>
    <w:rsid w:val="003D75F6"/>
    <w:rsid w:val="003E0CE6"/>
    <w:rsid w:val="003E102A"/>
    <w:rsid w:val="003E1374"/>
    <w:rsid w:val="003E17E9"/>
    <w:rsid w:val="003E391C"/>
    <w:rsid w:val="003E5374"/>
    <w:rsid w:val="003E6CA1"/>
    <w:rsid w:val="003E6ED6"/>
    <w:rsid w:val="003E7B48"/>
    <w:rsid w:val="003F0EFB"/>
    <w:rsid w:val="003F13A1"/>
    <w:rsid w:val="003F1496"/>
    <w:rsid w:val="003F1720"/>
    <w:rsid w:val="003F272B"/>
    <w:rsid w:val="003F34C9"/>
    <w:rsid w:val="003F38D7"/>
    <w:rsid w:val="003F3977"/>
    <w:rsid w:val="003F5AC4"/>
    <w:rsid w:val="003F5E01"/>
    <w:rsid w:val="003F5F23"/>
    <w:rsid w:val="003F5FE1"/>
    <w:rsid w:val="003F6969"/>
    <w:rsid w:val="003F765B"/>
    <w:rsid w:val="003F77CB"/>
    <w:rsid w:val="004002AE"/>
    <w:rsid w:val="004007BA"/>
    <w:rsid w:val="0040091E"/>
    <w:rsid w:val="004013C5"/>
    <w:rsid w:val="00401B40"/>
    <w:rsid w:val="00403802"/>
    <w:rsid w:val="00405FB8"/>
    <w:rsid w:val="0040627B"/>
    <w:rsid w:val="00407430"/>
    <w:rsid w:val="0041017B"/>
    <w:rsid w:val="00410F9C"/>
    <w:rsid w:val="004124F2"/>
    <w:rsid w:val="0041382D"/>
    <w:rsid w:val="00414797"/>
    <w:rsid w:val="00415461"/>
    <w:rsid w:val="00420898"/>
    <w:rsid w:val="004212EF"/>
    <w:rsid w:val="00421AED"/>
    <w:rsid w:val="00422DEF"/>
    <w:rsid w:val="00424299"/>
    <w:rsid w:val="00424862"/>
    <w:rsid w:val="00426A95"/>
    <w:rsid w:val="00427069"/>
    <w:rsid w:val="00427EB6"/>
    <w:rsid w:val="00430B7B"/>
    <w:rsid w:val="0043235C"/>
    <w:rsid w:val="00434083"/>
    <w:rsid w:val="00434F33"/>
    <w:rsid w:val="00434FDF"/>
    <w:rsid w:val="004368B5"/>
    <w:rsid w:val="00437123"/>
    <w:rsid w:val="00440DA7"/>
    <w:rsid w:val="00440F54"/>
    <w:rsid w:val="004424BD"/>
    <w:rsid w:val="00445425"/>
    <w:rsid w:val="00446B3F"/>
    <w:rsid w:val="004500FB"/>
    <w:rsid w:val="004508D7"/>
    <w:rsid w:val="00451AA1"/>
    <w:rsid w:val="00452105"/>
    <w:rsid w:val="0045237F"/>
    <w:rsid w:val="004523AB"/>
    <w:rsid w:val="004528C2"/>
    <w:rsid w:val="00452E25"/>
    <w:rsid w:val="00454573"/>
    <w:rsid w:val="00454BC2"/>
    <w:rsid w:val="00455501"/>
    <w:rsid w:val="00455E4C"/>
    <w:rsid w:val="00457154"/>
    <w:rsid w:val="0045732F"/>
    <w:rsid w:val="00457F55"/>
    <w:rsid w:val="00460ED8"/>
    <w:rsid w:val="004617E8"/>
    <w:rsid w:val="00465E00"/>
    <w:rsid w:val="0046639D"/>
    <w:rsid w:val="0046640F"/>
    <w:rsid w:val="00466D5B"/>
    <w:rsid w:val="00470CA8"/>
    <w:rsid w:val="00472F19"/>
    <w:rsid w:val="00473456"/>
    <w:rsid w:val="00474D3C"/>
    <w:rsid w:val="004757E0"/>
    <w:rsid w:val="0048142F"/>
    <w:rsid w:val="00482D64"/>
    <w:rsid w:val="00483EC2"/>
    <w:rsid w:val="0048402A"/>
    <w:rsid w:val="00484154"/>
    <w:rsid w:val="004853CD"/>
    <w:rsid w:val="00485E24"/>
    <w:rsid w:val="004861F5"/>
    <w:rsid w:val="00486DEE"/>
    <w:rsid w:val="00486E36"/>
    <w:rsid w:val="00487E8C"/>
    <w:rsid w:val="00491133"/>
    <w:rsid w:val="00491F49"/>
    <w:rsid w:val="0049389B"/>
    <w:rsid w:val="004938A5"/>
    <w:rsid w:val="004A1A89"/>
    <w:rsid w:val="004A256A"/>
    <w:rsid w:val="004A2810"/>
    <w:rsid w:val="004A3427"/>
    <w:rsid w:val="004A3996"/>
    <w:rsid w:val="004A39D1"/>
    <w:rsid w:val="004A3AAC"/>
    <w:rsid w:val="004A3F99"/>
    <w:rsid w:val="004A4624"/>
    <w:rsid w:val="004A6EC9"/>
    <w:rsid w:val="004B008D"/>
    <w:rsid w:val="004B0E0E"/>
    <w:rsid w:val="004B1045"/>
    <w:rsid w:val="004B125D"/>
    <w:rsid w:val="004B1C93"/>
    <w:rsid w:val="004B4CAA"/>
    <w:rsid w:val="004B686C"/>
    <w:rsid w:val="004B7CB2"/>
    <w:rsid w:val="004C03A3"/>
    <w:rsid w:val="004C16BE"/>
    <w:rsid w:val="004C23DC"/>
    <w:rsid w:val="004C32FF"/>
    <w:rsid w:val="004C35B9"/>
    <w:rsid w:val="004C4A27"/>
    <w:rsid w:val="004C6717"/>
    <w:rsid w:val="004C6C7D"/>
    <w:rsid w:val="004C739A"/>
    <w:rsid w:val="004D0BDC"/>
    <w:rsid w:val="004D1364"/>
    <w:rsid w:val="004D13C6"/>
    <w:rsid w:val="004D1EB0"/>
    <w:rsid w:val="004D2733"/>
    <w:rsid w:val="004D4FAA"/>
    <w:rsid w:val="004D73C5"/>
    <w:rsid w:val="004D7F84"/>
    <w:rsid w:val="004E0D58"/>
    <w:rsid w:val="004E2562"/>
    <w:rsid w:val="004E3A4D"/>
    <w:rsid w:val="004E48CB"/>
    <w:rsid w:val="004E49A0"/>
    <w:rsid w:val="004E64AF"/>
    <w:rsid w:val="004F0BB2"/>
    <w:rsid w:val="004F0C23"/>
    <w:rsid w:val="004F1261"/>
    <w:rsid w:val="004F1724"/>
    <w:rsid w:val="004F3D2E"/>
    <w:rsid w:val="004F3D79"/>
    <w:rsid w:val="004F3EE7"/>
    <w:rsid w:val="004F5A4B"/>
    <w:rsid w:val="004F7356"/>
    <w:rsid w:val="004F7457"/>
    <w:rsid w:val="0050018A"/>
    <w:rsid w:val="0050151D"/>
    <w:rsid w:val="005024C2"/>
    <w:rsid w:val="005028EC"/>
    <w:rsid w:val="005033BB"/>
    <w:rsid w:val="00503F13"/>
    <w:rsid w:val="005059DB"/>
    <w:rsid w:val="00506D61"/>
    <w:rsid w:val="00510A87"/>
    <w:rsid w:val="00511289"/>
    <w:rsid w:val="00511CAF"/>
    <w:rsid w:val="00511E31"/>
    <w:rsid w:val="00512D24"/>
    <w:rsid w:val="00512E8E"/>
    <w:rsid w:val="005144BB"/>
    <w:rsid w:val="00514BD0"/>
    <w:rsid w:val="00514BD7"/>
    <w:rsid w:val="00515CD3"/>
    <w:rsid w:val="00517397"/>
    <w:rsid w:val="005212BE"/>
    <w:rsid w:val="00521595"/>
    <w:rsid w:val="005251F5"/>
    <w:rsid w:val="005276D7"/>
    <w:rsid w:val="005311B2"/>
    <w:rsid w:val="00531407"/>
    <w:rsid w:val="0053153F"/>
    <w:rsid w:val="00531753"/>
    <w:rsid w:val="00531BF5"/>
    <w:rsid w:val="00532767"/>
    <w:rsid w:val="0053308F"/>
    <w:rsid w:val="00533AD8"/>
    <w:rsid w:val="005360E9"/>
    <w:rsid w:val="00536706"/>
    <w:rsid w:val="00537280"/>
    <w:rsid w:val="005374C3"/>
    <w:rsid w:val="00541166"/>
    <w:rsid w:val="00541E9F"/>
    <w:rsid w:val="00544435"/>
    <w:rsid w:val="00546C03"/>
    <w:rsid w:val="005478EC"/>
    <w:rsid w:val="005509D0"/>
    <w:rsid w:val="0055124C"/>
    <w:rsid w:val="00551F0C"/>
    <w:rsid w:val="005529FD"/>
    <w:rsid w:val="005548D9"/>
    <w:rsid w:val="00555A8E"/>
    <w:rsid w:val="00561B9F"/>
    <w:rsid w:val="005635FF"/>
    <w:rsid w:val="00563AEA"/>
    <w:rsid w:val="005646DF"/>
    <w:rsid w:val="00564DE3"/>
    <w:rsid w:val="0056609A"/>
    <w:rsid w:val="00566316"/>
    <w:rsid w:val="00566E92"/>
    <w:rsid w:val="00566EAA"/>
    <w:rsid w:val="00567135"/>
    <w:rsid w:val="0056780F"/>
    <w:rsid w:val="005702DC"/>
    <w:rsid w:val="005717BE"/>
    <w:rsid w:val="005734B1"/>
    <w:rsid w:val="00574128"/>
    <w:rsid w:val="0057466B"/>
    <w:rsid w:val="005747D2"/>
    <w:rsid w:val="00575077"/>
    <w:rsid w:val="005756E0"/>
    <w:rsid w:val="00577603"/>
    <w:rsid w:val="0057797A"/>
    <w:rsid w:val="005812C2"/>
    <w:rsid w:val="005820E3"/>
    <w:rsid w:val="00583CF9"/>
    <w:rsid w:val="00584217"/>
    <w:rsid w:val="005843FD"/>
    <w:rsid w:val="005846DF"/>
    <w:rsid w:val="005857DB"/>
    <w:rsid w:val="00586071"/>
    <w:rsid w:val="0058706C"/>
    <w:rsid w:val="00587160"/>
    <w:rsid w:val="00587F43"/>
    <w:rsid w:val="00590712"/>
    <w:rsid w:val="00591C93"/>
    <w:rsid w:val="00592FFB"/>
    <w:rsid w:val="00593471"/>
    <w:rsid w:val="00593877"/>
    <w:rsid w:val="00593B67"/>
    <w:rsid w:val="0059462D"/>
    <w:rsid w:val="00594B5D"/>
    <w:rsid w:val="00594CC1"/>
    <w:rsid w:val="005958C1"/>
    <w:rsid w:val="00596700"/>
    <w:rsid w:val="00597021"/>
    <w:rsid w:val="005973C8"/>
    <w:rsid w:val="005977A2"/>
    <w:rsid w:val="005A2431"/>
    <w:rsid w:val="005A34A4"/>
    <w:rsid w:val="005A54F5"/>
    <w:rsid w:val="005A6A42"/>
    <w:rsid w:val="005A7E86"/>
    <w:rsid w:val="005B0BAE"/>
    <w:rsid w:val="005B1979"/>
    <w:rsid w:val="005B3926"/>
    <w:rsid w:val="005B5C03"/>
    <w:rsid w:val="005B5D00"/>
    <w:rsid w:val="005B6691"/>
    <w:rsid w:val="005C0655"/>
    <w:rsid w:val="005C2FC7"/>
    <w:rsid w:val="005C3B4D"/>
    <w:rsid w:val="005C47A2"/>
    <w:rsid w:val="005C4F0A"/>
    <w:rsid w:val="005C61EC"/>
    <w:rsid w:val="005D089E"/>
    <w:rsid w:val="005D105C"/>
    <w:rsid w:val="005D13D3"/>
    <w:rsid w:val="005D1829"/>
    <w:rsid w:val="005D197F"/>
    <w:rsid w:val="005D2FA6"/>
    <w:rsid w:val="005D3811"/>
    <w:rsid w:val="005D4488"/>
    <w:rsid w:val="005D482B"/>
    <w:rsid w:val="005D4E45"/>
    <w:rsid w:val="005D4F02"/>
    <w:rsid w:val="005D655E"/>
    <w:rsid w:val="005E0049"/>
    <w:rsid w:val="005E04A0"/>
    <w:rsid w:val="005E41CB"/>
    <w:rsid w:val="005E476B"/>
    <w:rsid w:val="005E56CE"/>
    <w:rsid w:val="005E6997"/>
    <w:rsid w:val="005E7036"/>
    <w:rsid w:val="005F0882"/>
    <w:rsid w:val="005F1185"/>
    <w:rsid w:val="005F2371"/>
    <w:rsid w:val="005F379A"/>
    <w:rsid w:val="005F47AA"/>
    <w:rsid w:val="005F4E6C"/>
    <w:rsid w:val="005F544C"/>
    <w:rsid w:val="005F75DE"/>
    <w:rsid w:val="005F7609"/>
    <w:rsid w:val="005F7BE0"/>
    <w:rsid w:val="005F7DE1"/>
    <w:rsid w:val="00601D31"/>
    <w:rsid w:val="006059B4"/>
    <w:rsid w:val="0060799D"/>
    <w:rsid w:val="00607C6F"/>
    <w:rsid w:val="00607D3C"/>
    <w:rsid w:val="00610D4D"/>
    <w:rsid w:val="006112EE"/>
    <w:rsid w:val="00612BFE"/>
    <w:rsid w:val="00612E7F"/>
    <w:rsid w:val="0061429E"/>
    <w:rsid w:val="00620630"/>
    <w:rsid w:val="00621CC7"/>
    <w:rsid w:val="00621E4B"/>
    <w:rsid w:val="00621F76"/>
    <w:rsid w:val="00622832"/>
    <w:rsid w:val="00624EE0"/>
    <w:rsid w:val="0062560F"/>
    <w:rsid w:val="00625E47"/>
    <w:rsid w:val="00625EF6"/>
    <w:rsid w:val="00626532"/>
    <w:rsid w:val="00627D6E"/>
    <w:rsid w:val="006304B9"/>
    <w:rsid w:val="006318CE"/>
    <w:rsid w:val="00631923"/>
    <w:rsid w:val="00631CCB"/>
    <w:rsid w:val="0063572D"/>
    <w:rsid w:val="00636028"/>
    <w:rsid w:val="0063605B"/>
    <w:rsid w:val="00637BA1"/>
    <w:rsid w:val="00637D7A"/>
    <w:rsid w:val="00640A88"/>
    <w:rsid w:val="00641197"/>
    <w:rsid w:val="00641648"/>
    <w:rsid w:val="0064165C"/>
    <w:rsid w:val="0064188A"/>
    <w:rsid w:val="00641C99"/>
    <w:rsid w:val="006430B4"/>
    <w:rsid w:val="006433BB"/>
    <w:rsid w:val="00644E1F"/>
    <w:rsid w:val="00645619"/>
    <w:rsid w:val="00645DDE"/>
    <w:rsid w:val="00647C13"/>
    <w:rsid w:val="0065004B"/>
    <w:rsid w:val="00650EC9"/>
    <w:rsid w:val="00651022"/>
    <w:rsid w:val="0065163B"/>
    <w:rsid w:val="00652A34"/>
    <w:rsid w:val="00652F41"/>
    <w:rsid w:val="006531E7"/>
    <w:rsid w:val="00653F5D"/>
    <w:rsid w:val="00654158"/>
    <w:rsid w:val="0065480F"/>
    <w:rsid w:val="00654A90"/>
    <w:rsid w:val="00655D7A"/>
    <w:rsid w:val="00657387"/>
    <w:rsid w:val="006641CE"/>
    <w:rsid w:val="00664CBF"/>
    <w:rsid w:val="006657EB"/>
    <w:rsid w:val="006670FE"/>
    <w:rsid w:val="00667776"/>
    <w:rsid w:val="0066783F"/>
    <w:rsid w:val="0066788A"/>
    <w:rsid w:val="00667A41"/>
    <w:rsid w:val="00670C06"/>
    <w:rsid w:val="00670E25"/>
    <w:rsid w:val="006713A6"/>
    <w:rsid w:val="00672133"/>
    <w:rsid w:val="00673A27"/>
    <w:rsid w:val="00675209"/>
    <w:rsid w:val="00675545"/>
    <w:rsid w:val="00677DB4"/>
    <w:rsid w:val="00681A6E"/>
    <w:rsid w:val="006829E8"/>
    <w:rsid w:val="00684EFC"/>
    <w:rsid w:val="00686E84"/>
    <w:rsid w:val="00693159"/>
    <w:rsid w:val="00693620"/>
    <w:rsid w:val="00693B4B"/>
    <w:rsid w:val="006946D4"/>
    <w:rsid w:val="00694953"/>
    <w:rsid w:val="00694F27"/>
    <w:rsid w:val="00697A20"/>
    <w:rsid w:val="006A48DE"/>
    <w:rsid w:val="006A4A60"/>
    <w:rsid w:val="006A530A"/>
    <w:rsid w:val="006A6686"/>
    <w:rsid w:val="006B052D"/>
    <w:rsid w:val="006B15D5"/>
    <w:rsid w:val="006B5B13"/>
    <w:rsid w:val="006B5CD8"/>
    <w:rsid w:val="006B66B7"/>
    <w:rsid w:val="006C19E1"/>
    <w:rsid w:val="006C2619"/>
    <w:rsid w:val="006C26C2"/>
    <w:rsid w:val="006C3307"/>
    <w:rsid w:val="006C3AF7"/>
    <w:rsid w:val="006C4058"/>
    <w:rsid w:val="006C5B30"/>
    <w:rsid w:val="006C5CC9"/>
    <w:rsid w:val="006C623B"/>
    <w:rsid w:val="006C6D81"/>
    <w:rsid w:val="006D2592"/>
    <w:rsid w:val="006D32E7"/>
    <w:rsid w:val="006D4A77"/>
    <w:rsid w:val="006D4FAA"/>
    <w:rsid w:val="006D6BD9"/>
    <w:rsid w:val="006D733E"/>
    <w:rsid w:val="006D7A3A"/>
    <w:rsid w:val="006E0BC1"/>
    <w:rsid w:val="006E35EF"/>
    <w:rsid w:val="006E376F"/>
    <w:rsid w:val="006E40B4"/>
    <w:rsid w:val="006E4553"/>
    <w:rsid w:val="006E46C8"/>
    <w:rsid w:val="006E64A6"/>
    <w:rsid w:val="006F12FA"/>
    <w:rsid w:val="006F1450"/>
    <w:rsid w:val="006F1EB0"/>
    <w:rsid w:val="006F7017"/>
    <w:rsid w:val="006F7937"/>
    <w:rsid w:val="006F7DF3"/>
    <w:rsid w:val="007018A7"/>
    <w:rsid w:val="00702429"/>
    <w:rsid w:val="00702D74"/>
    <w:rsid w:val="00703906"/>
    <w:rsid w:val="00703BA4"/>
    <w:rsid w:val="007040AE"/>
    <w:rsid w:val="007045FF"/>
    <w:rsid w:val="00706774"/>
    <w:rsid w:val="007075EE"/>
    <w:rsid w:val="00711512"/>
    <w:rsid w:val="00711F5C"/>
    <w:rsid w:val="00711F6C"/>
    <w:rsid w:val="007126BF"/>
    <w:rsid w:val="00712927"/>
    <w:rsid w:val="00712B46"/>
    <w:rsid w:val="00713733"/>
    <w:rsid w:val="00715495"/>
    <w:rsid w:val="00722911"/>
    <w:rsid w:val="0072590A"/>
    <w:rsid w:val="007265EA"/>
    <w:rsid w:val="00727CFC"/>
    <w:rsid w:val="00730990"/>
    <w:rsid w:val="00730FA5"/>
    <w:rsid w:val="00731222"/>
    <w:rsid w:val="00731561"/>
    <w:rsid w:val="00732DEA"/>
    <w:rsid w:val="00732FA5"/>
    <w:rsid w:val="00733065"/>
    <w:rsid w:val="00733C41"/>
    <w:rsid w:val="00733E0B"/>
    <w:rsid w:val="00734026"/>
    <w:rsid w:val="00734E28"/>
    <w:rsid w:val="0073502D"/>
    <w:rsid w:val="007422D3"/>
    <w:rsid w:val="007441F7"/>
    <w:rsid w:val="00744833"/>
    <w:rsid w:val="00744C00"/>
    <w:rsid w:val="007458C4"/>
    <w:rsid w:val="00746750"/>
    <w:rsid w:val="007527F2"/>
    <w:rsid w:val="007542F1"/>
    <w:rsid w:val="00756171"/>
    <w:rsid w:val="007571C9"/>
    <w:rsid w:val="00757892"/>
    <w:rsid w:val="0076019B"/>
    <w:rsid w:val="00760A7A"/>
    <w:rsid w:val="007616B7"/>
    <w:rsid w:val="00761E71"/>
    <w:rsid w:val="00764F8C"/>
    <w:rsid w:val="00765618"/>
    <w:rsid w:val="00765C31"/>
    <w:rsid w:val="00765E1E"/>
    <w:rsid w:val="007665AA"/>
    <w:rsid w:val="007700C1"/>
    <w:rsid w:val="007706FF"/>
    <w:rsid w:val="00770D6C"/>
    <w:rsid w:val="00775058"/>
    <w:rsid w:val="00775350"/>
    <w:rsid w:val="00775CB6"/>
    <w:rsid w:val="00775CE3"/>
    <w:rsid w:val="007763B8"/>
    <w:rsid w:val="007771CB"/>
    <w:rsid w:val="00777363"/>
    <w:rsid w:val="00777A86"/>
    <w:rsid w:val="00783F6B"/>
    <w:rsid w:val="00785994"/>
    <w:rsid w:val="00785BB8"/>
    <w:rsid w:val="00786454"/>
    <w:rsid w:val="007879BF"/>
    <w:rsid w:val="00787B97"/>
    <w:rsid w:val="00790030"/>
    <w:rsid w:val="007912EE"/>
    <w:rsid w:val="00791B73"/>
    <w:rsid w:val="00796784"/>
    <w:rsid w:val="00796C4B"/>
    <w:rsid w:val="00797940"/>
    <w:rsid w:val="007A144A"/>
    <w:rsid w:val="007A14AB"/>
    <w:rsid w:val="007A180B"/>
    <w:rsid w:val="007A1C62"/>
    <w:rsid w:val="007A2D83"/>
    <w:rsid w:val="007A3227"/>
    <w:rsid w:val="007A3BDE"/>
    <w:rsid w:val="007A405F"/>
    <w:rsid w:val="007A463C"/>
    <w:rsid w:val="007A4A23"/>
    <w:rsid w:val="007A6732"/>
    <w:rsid w:val="007B1EE1"/>
    <w:rsid w:val="007B2D11"/>
    <w:rsid w:val="007B457E"/>
    <w:rsid w:val="007B6583"/>
    <w:rsid w:val="007C1EB9"/>
    <w:rsid w:val="007C28BB"/>
    <w:rsid w:val="007C2961"/>
    <w:rsid w:val="007C388C"/>
    <w:rsid w:val="007C4316"/>
    <w:rsid w:val="007C4680"/>
    <w:rsid w:val="007C46A3"/>
    <w:rsid w:val="007C48D0"/>
    <w:rsid w:val="007C5051"/>
    <w:rsid w:val="007C5F0B"/>
    <w:rsid w:val="007C66F2"/>
    <w:rsid w:val="007D03ED"/>
    <w:rsid w:val="007D2165"/>
    <w:rsid w:val="007D234C"/>
    <w:rsid w:val="007D326F"/>
    <w:rsid w:val="007D37F1"/>
    <w:rsid w:val="007D60C1"/>
    <w:rsid w:val="007E05B4"/>
    <w:rsid w:val="007E0D51"/>
    <w:rsid w:val="007E1F8E"/>
    <w:rsid w:val="007E20AC"/>
    <w:rsid w:val="007E580F"/>
    <w:rsid w:val="007E6B8A"/>
    <w:rsid w:val="007F062D"/>
    <w:rsid w:val="007F09D3"/>
    <w:rsid w:val="007F0F98"/>
    <w:rsid w:val="007F1109"/>
    <w:rsid w:val="007F1356"/>
    <w:rsid w:val="007F1FDD"/>
    <w:rsid w:val="007F4BB0"/>
    <w:rsid w:val="007F67D2"/>
    <w:rsid w:val="007F6E3A"/>
    <w:rsid w:val="0080179C"/>
    <w:rsid w:val="008018C8"/>
    <w:rsid w:val="00804F71"/>
    <w:rsid w:val="00806E95"/>
    <w:rsid w:val="0081051E"/>
    <w:rsid w:val="00811025"/>
    <w:rsid w:val="00814C6B"/>
    <w:rsid w:val="00814E45"/>
    <w:rsid w:val="0081522A"/>
    <w:rsid w:val="00816878"/>
    <w:rsid w:val="00816B45"/>
    <w:rsid w:val="0081709C"/>
    <w:rsid w:val="00817571"/>
    <w:rsid w:val="008175DD"/>
    <w:rsid w:val="00817AAA"/>
    <w:rsid w:val="00821F27"/>
    <w:rsid w:val="008222AB"/>
    <w:rsid w:val="008226FF"/>
    <w:rsid w:val="00823414"/>
    <w:rsid w:val="00823784"/>
    <w:rsid w:val="008238AF"/>
    <w:rsid w:val="008242F0"/>
    <w:rsid w:val="00825748"/>
    <w:rsid w:val="00825B5D"/>
    <w:rsid w:val="0082608D"/>
    <w:rsid w:val="0082676C"/>
    <w:rsid w:val="008271CB"/>
    <w:rsid w:val="00827B70"/>
    <w:rsid w:val="00831C9B"/>
    <w:rsid w:val="0083269F"/>
    <w:rsid w:val="008335C4"/>
    <w:rsid w:val="008349A9"/>
    <w:rsid w:val="00835668"/>
    <w:rsid w:val="00836F2F"/>
    <w:rsid w:val="00837FAA"/>
    <w:rsid w:val="00841872"/>
    <w:rsid w:val="00841EC6"/>
    <w:rsid w:val="00841FB2"/>
    <w:rsid w:val="008426AE"/>
    <w:rsid w:val="008432EC"/>
    <w:rsid w:val="008438F3"/>
    <w:rsid w:val="00843E39"/>
    <w:rsid w:val="00846F46"/>
    <w:rsid w:val="00847592"/>
    <w:rsid w:val="00850FE2"/>
    <w:rsid w:val="00851C59"/>
    <w:rsid w:val="0085372C"/>
    <w:rsid w:val="00853B2A"/>
    <w:rsid w:val="00854AB5"/>
    <w:rsid w:val="00855A69"/>
    <w:rsid w:val="0085635B"/>
    <w:rsid w:val="0085740A"/>
    <w:rsid w:val="008603E3"/>
    <w:rsid w:val="00861F5A"/>
    <w:rsid w:val="008622AA"/>
    <w:rsid w:val="008622E4"/>
    <w:rsid w:val="00862B4F"/>
    <w:rsid w:val="00866503"/>
    <w:rsid w:val="00867907"/>
    <w:rsid w:val="00870A99"/>
    <w:rsid w:val="00870CC4"/>
    <w:rsid w:val="0087148A"/>
    <w:rsid w:val="008718ED"/>
    <w:rsid w:val="00872932"/>
    <w:rsid w:val="00873903"/>
    <w:rsid w:val="00874159"/>
    <w:rsid w:val="00877235"/>
    <w:rsid w:val="0087730C"/>
    <w:rsid w:val="00877DE0"/>
    <w:rsid w:val="0088029A"/>
    <w:rsid w:val="00880422"/>
    <w:rsid w:val="00882014"/>
    <w:rsid w:val="008835D6"/>
    <w:rsid w:val="008840CC"/>
    <w:rsid w:val="0088463B"/>
    <w:rsid w:val="00884A66"/>
    <w:rsid w:val="00886B03"/>
    <w:rsid w:val="00886DE9"/>
    <w:rsid w:val="00886F1C"/>
    <w:rsid w:val="00887E85"/>
    <w:rsid w:val="008922B9"/>
    <w:rsid w:val="00893109"/>
    <w:rsid w:val="0089605B"/>
    <w:rsid w:val="00896B77"/>
    <w:rsid w:val="008A0854"/>
    <w:rsid w:val="008A0C39"/>
    <w:rsid w:val="008A1977"/>
    <w:rsid w:val="008A3C6F"/>
    <w:rsid w:val="008A60C4"/>
    <w:rsid w:val="008A6B2A"/>
    <w:rsid w:val="008A78D8"/>
    <w:rsid w:val="008A7F6D"/>
    <w:rsid w:val="008B04C0"/>
    <w:rsid w:val="008B0907"/>
    <w:rsid w:val="008B2C23"/>
    <w:rsid w:val="008B3D67"/>
    <w:rsid w:val="008B4F5C"/>
    <w:rsid w:val="008B51C0"/>
    <w:rsid w:val="008B55D5"/>
    <w:rsid w:val="008B578D"/>
    <w:rsid w:val="008B68CE"/>
    <w:rsid w:val="008B7845"/>
    <w:rsid w:val="008C3A9A"/>
    <w:rsid w:val="008C4C97"/>
    <w:rsid w:val="008C5749"/>
    <w:rsid w:val="008C6293"/>
    <w:rsid w:val="008C7D2B"/>
    <w:rsid w:val="008D0B53"/>
    <w:rsid w:val="008D0D43"/>
    <w:rsid w:val="008D12BA"/>
    <w:rsid w:val="008D17C2"/>
    <w:rsid w:val="008D2F22"/>
    <w:rsid w:val="008D3361"/>
    <w:rsid w:val="008D3C90"/>
    <w:rsid w:val="008D6481"/>
    <w:rsid w:val="008D7E38"/>
    <w:rsid w:val="008E16B6"/>
    <w:rsid w:val="008E1FC0"/>
    <w:rsid w:val="008E2E2E"/>
    <w:rsid w:val="008E3655"/>
    <w:rsid w:val="008E41DF"/>
    <w:rsid w:val="008E69BA"/>
    <w:rsid w:val="008E775F"/>
    <w:rsid w:val="008F0FF1"/>
    <w:rsid w:val="008F118C"/>
    <w:rsid w:val="008F2AF3"/>
    <w:rsid w:val="008F3227"/>
    <w:rsid w:val="008F3A71"/>
    <w:rsid w:val="008F4D11"/>
    <w:rsid w:val="008F4F8E"/>
    <w:rsid w:val="008F764A"/>
    <w:rsid w:val="00900DDD"/>
    <w:rsid w:val="00903099"/>
    <w:rsid w:val="009043F3"/>
    <w:rsid w:val="00904F1A"/>
    <w:rsid w:val="00905298"/>
    <w:rsid w:val="009059A2"/>
    <w:rsid w:val="00905FC3"/>
    <w:rsid w:val="00906D8F"/>
    <w:rsid w:val="00907864"/>
    <w:rsid w:val="009112CB"/>
    <w:rsid w:val="00911AF1"/>
    <w:rsid w:val="0091323D"/>
    <w:rsid w:val="00913DC6"/>
    <w:rsid w:val="009153FE"/>
    <w:rsid w:val="00916943"/>
    <w:rsid w:val="00916A29"/>
    <w:rsid w:val="009221A4"/>
    <w:rsid w:val="00922D33"/>
    <w:rsid w:val="00923F1B"/>
    <w:rsid w:val="00924888"/>
    <w:rsid w:val="009258C5"/>
    <w:rsid w:val="009324AB"/>
    <w:rsid w:val="00932BFD"/>
    <w:rsid w:val="00933445"/>
    <w:rsid w:val="00934599"/>
    <w:rsid w:val="00935DB6"/>
    <w:rsid w:val="00936452"/>
    <w:rsid w:val="00936DA7"/>
    <w:rsid w:val="00936FAC"/>
    <w:rsid w:val="009413F0"/>
    <w:rsid w:val="009414DA"/>
    <w:rsid w:val="009417A7"/>
    <w:rsid w:val="00942E38"/>
    <w:rsid w:val="0094521D"/>
    <w:rsid w:val="00946C7C"/>
    <w:rsid w:val="00946DE3"/>
    <w:rsid w:val="00951C60"/>
    <w:rsid w:val="00952997"/>
    <w:rsid w:val="0095342D"/>
    <w:rsid w:val="0095457A"/>
    <w:rsid w:val="00954D89"/>
    <w:rsid w:val="0095683A"/>
    <w:rsid w:val="00957A01"/>
    <w:rsid w:val="00960082"/>
    <w:rsid w:val="00960330"/>
    <w:rsid w:val="00961676"/>
    <w:rsid w:val="00964D8E"/>
    <w:rsid w:val="0096727D"/>
    <w:rsid w:val="00967D9C"/>
    <w:rsid w:val="00967FB9"/>
    <w:rsid w:val="0097103F"/>
    <w:rsid w:val="009728D4"/>
    <w:rsid w:val="009733DD"/>
    <w:rsid w:val="00973BAE"/>
    <w:rsid w:val="0097469A"/>
    <w:rsid w:val="00974B91"/>
    <w:rsid w:val="00974EC1"/>
    <w:rsid w:val="00975634"/>
    <w:rsid w:val="00977130"/>
    <w:rsid w:val="0097791B"/>
    <w:rsid w:val="00977CC9"/>
    <w:rsid w:val="00980D99"/>
    <w:rsid w:val="00981D98"/>
    <w:rsid w:val="0098350E"/>
    <w:rsid w:val="00983C2C"/>
    <w:rsid w:val="00984373"/>
    <w:rsid w:val="00986437"/>
    <w:rsid w:val="00986616"/>
    <w:rsid w:val="0099163C"/>
    <w:rsid w:val="009A0975"/>
    <w:rsid w:val="009A1990"/>
    <w:rsid w:val="009A1F62"/>
    <w:rsid w:val="009A2BFE"/>
    <w:rsid w:val="009A35B9"/>
    <w:rsid w:val="009A48F9"/>
    <w:rsid w:val="009A4B27"/>
    <w:rsid w:val="009A4C07"/>
    <w:rsid w:val="009A5880"/>
    <w:rsid w:val="009A6403"/>
    <w:rsid w:val="009A7863"/>
    <w:rsid w:val="009B012D"/>
    <w:rsid w:val="009B0FDD"/>
    <w:rsid w:val="009B105E"/>
    <w:rsid w:val="009B211C"/>
    <w:rsid w:val="009B21AE"/>
    <w:rsid w:val="009B2876"/>
    <w:rsid w:val="009B3665"/>
    <w:rsid w:val="009B3C33"/>
    <w:rsid w:val="009B3E5A"/>
    <w:rsid w:val="009B44C3"/>
    <w:rsid w:val="009B6B53"/>
    <w:rsid w:val="009B716A"/>
    <w:rsid w:val="009C1C1D"/>
    <w:rsid w:val="009C2C3F"/>
    <w:rsid w:val="009C2CA8"/>
    <w:rsid w:val="009C6EAB"/>
    <w:rsid w:val="009C7601"/>
    <w:rsid w:val="009D2940"/>
    <w:rsid w:val="009D4481"/>
    <w:rsid w:val="009D72CE"/>
    <w:rsid w:val="009D7458"/>
    <w:rsid w:val="009E0D8F"/>
    <w:rsid w:val="009E1720"/>
    <w:rsid w:val="009E2804"/>
    <w:rsid w:val="009E2CD9"/>
    <w:rsid w:val="009E39E4"/>
    <w:rsid w:val="009E65F2"/>
    <w:rsid w:val="009E66E3"/>
    <w:rsid w:val="009E6A56"/>
    <w:rsid w:val="009F0574"/>
    <w:rsid w:val="009F08CF"/>
    <w:rsid w:val="009F0FFF"/>
    <w:rsid w:val="009F177D"/>
    <w:rsid w:val="009F1B61"/>
    <w:rsid w:val="009F2090"/>
    <w:rsid w:val="009F21E6"/>
    <w:rsid w:val="009F48E5"/>
    <w:rsid w:val="009F4CFE"/>
    <w:rsid w:val="009F6F09"/>
    <w:rsid w:val="009F7E3D"/>
    <w:rsid w:val="00A0037C"/>
    <w:rsid w:val="00A00B53"/>
    <w:rsid w:val="00A02A07"/>
    <w:rsid w:val="00A04518"/>
    <w:rsid w:val="00A0548B"/>
    <w:rsid w:val="00A05758"/>
    <w:rsid w:val="00A06CC6"/>
    <w:rsid w:val="00A071B7"/>
    <w:rsid w:val="00A079C1"/>
    <w:rsid w:val="00A10078"/>
    <w:rsid w:val="00A1206C"/>
    <w:rsid w:val="00A12A6B"/>
    <w:rsid w:val="00A133DD"/>
    <w:rsid w:val="00A14032"/>
    <w:rsid w:val="00A2215A"/>
    <w:rsid w:val="00A232E4"/>
    <w:rsid w:val="00A237C8"/>
    <w:rsid w:val="00A24099"/>
    <w:rsid w:val="00A25FB2"/>
    <w:rsid w:val="00A26D98"/>
    <w:rsid w:val="00A2705C"/>
    <w:rsid w:val="00A275C7"/>
    <w:rsid w:val="00A27832"/>
    <w:rsid w:val="00A30BBD"/>
    <w:rsid w:val="00A30C8C"/>
    <w:rsid w:val="00A30EFE"/>
    <w:rsid w:val="00A31249"/>
    <w:rsid w:val="00A31F84"/>
    <w:rsid w:val="00A33ADD"/>
    <w:rsid w:val="00A3753F"/>
    <w:rsid w:val="00A37BC6"/>
    <w:rsid w:val="00A40739"/>
    <w:rsid w:val="00A41617"/>
    <w:rsid w:val="00A42091"/>
    <w:rsid w:val="00A42C6F"/>
    <w:rsid w:val="00A434FE"/>
    <w:rsid w:val="00A43500"/>
    <w:rsid w:val="00A436B8"/>
    <w:rsid w:val="00A438D8"/>
    <w:rsid w:val="00A43A7A"/>
    <w:rsid w:val="00A44D90"/>
    <w:rsid w:val="00A44EB8"/>
    <w:rsid w:val="00A4524D"/>
    <w:rsid w:val="00A4552E"/>
    <w:rsid w:val="00A4590A"/>
    <w:rsid w:val="00A463DD"/>
    <w:rsid w:val="00A512A2"/>
    <w:rsid w:val="00A539D3"/>
    <w:rsid w:val="00A5419E"/>
    <w:rsid w:val="00A550E3"/>
    <w:rsid w:val="00A55591"/>
    <w:rsid w:val="00A644E3"/>
    <w:rsid w:val="00A64D22"/>
    <w:rsid w:val="00A6578F"/>
    <w:rsid w:val="00A65854"/>
    <w:rsid w:val="00A679E7"/>
    <w:rsid w:val="00A67A72"/>
    <w:rsid w:val="00A67F05"/>
    <w:rsid w:val="00A721FB"/>
    <w:rsid w:val="00A72ADC"/>
    <w:rsid w:val="00A72C9D"/>
    <w:rsid w:val="00A72F39"/>
    <w:rsid w:val="00A73104"/>
    <w:rsid w:val="00A735AC"/>
    <w:rsid w:val="00A735D7"/>
    <w:rsid w:val="00A73671"/>
    <w:rsid w:val="00A746FD"/>
    <w:rsid w:val="00A75840"/>
    <w:rsid w:val="00A75DAB"/>
    <w:rsid w:val="00A77491"/>
    <w:rsid w:val="00A805E3"/>
    <w:rsid w:val="00A80FAC"/>
    <w:rsid w:val="00A820D5"/>
    <w:rsid w:val="00A84DFC"/>
    <w:rsid w:val="00A85739"/>
    <w:rsid w:val="00A85BA2"/>
    <w:rsid w:val="00A86204"/>
    <w:rsid w:val="00A87610"/>
    <w:rsid w:val="00A87BB0"/>
    <w:rsid w:val="00A917F4"/>
    <w:rsid w:val="00A91EFC"/>
    <w:rsid w:val="00A92E00"/>
    <w:rsid w:val="00A93D5B"/>
    <w:rsid w:val="00A94D17"/>
    <w:rsid w:val="00A95844"/>
    <w:rsid w:val="00A96F30"/>
    <w:rsid w:val="00A97694"/>
    <w:rsid w:val="00AA05BC"/>
    <w:rsid w:val="00AA0FCE"/>
    <w:rsid w:val="00AA2485"/>
    <w:rsid w:val="00AA2A0D"/>
    <w:rsid w:val="00AA30AB"/>
    <w:rsid w:val="00AA52DF"/>
    <w:rsid w:val="00AA571E"/>
    <w:rsid w:val="00AA6EF6"/>
    <w:rsid w:val="00AA76DD"/>
    <w:rsid w:val="00AB07A0"/>
    <w:rsid w:val="00AB0CE5"/>
    <w:rsid w:val="00AB4B5A"/>
    <w:rsid w:val="00AB4BBD"/>
    <w:rsid w:val="00AC13E5"/>
    <w:rsid w:val="00AC35E1"/>
    <w:rsid w:val="00AC4E84"/>
    <w:rsid w:val="00AC57FD"/>
    <w:rsid w:val="00AC59ED"/>
    <w:rsid w:val="00AC763A"/>
    <w:rsid w:val="00AD113F"/>
    <w:rsid w:val="00AD307F"/>
    <w:rsid w:val="00AD343C"/>
    <w:rsid w:val="00AE0392"/>
    <w:rsid w:val="00AE0B55"/>
    <w:rsid w:val="00AE216C"/>
    <w:rsid w:val="00AE2D1C"/>
    <w:rsid w:val="00AE33E4"/>
    <w:rsid w:val="00AE4F53"/>
    <w:rsid w:val="00AE5A52"/>
    <w:rsid w:val="00AE5DC9"/>
    <w:rsid w:val="00AE6CB9"/>
    <w:rsid w:val="00AF0952"/>
    <w:rsid w:val="00AF0EBB"/>
    <w:rsid w:val="00AF3CC6"/>
    <w:rsid w:val="00AF432D"/>
    <w:rsid w:val="00AF4925"/>
    <w:rsid w:val="00AF571A"/>
    <w:rsid w:val="00AF5E5E"/>
    <w:rsid w:val="00AF6EBF"/>
    <w:rsid w:val="00B002FC"/>
    <w:rsid w:val="00B00B9C"/>
    <w:rsid w:val="00B01673"/>
    <w:rsid w:val="00B02B3A"/>
    <w:rsid w:val="00B03B48"/>
    <w:rsid w:val="00B043E3"/>
    <w:rsid w:val="00B05D31"/>
    <w:rsid w:val="00B06E71"/>
    <w:rsid w:val="00B10684"/>
    <w:rsid w:val="00B10D8A"/>
    <w:rsid w:val="00B110BA"/>
    <w:rsid w:val="00B13481"/>
    <w:rsid w:val="00B13E8B"/>
    <w:rsid w:val="00B14BC4"/>
    <w:rsid w:val="00B17A8A"/>
    <w:rsid w:val="00B200D1"/>
    <w:rsid w:val="00B20950"/>
    <w:rsid w:val="00B20D78"/>
    <w:rsid w:val="00B2309C"/>
    <w:rsid w:val="00B23701"/>
    <w:rsid w:val="00B2485E"/>
    <w:rsid w:val="00B2506A"/>
    <w:rsid w:val="00B250C6"/>
    <w:rsid w:val="00B25D24"/>
    <w:rsid w:val="00B30C64"/>
    <w:rsid w:val="00B3230E"/>
    <w:rsid w:val="00B32816"/>
    <w:rsid w:val="00B34F82"/>
    <w:rsid w:val="00B35C78"/>
    <w:rsid w:val="00B360F6"/>
    <w:rsid w:val="00B36120"/>
    <w:rsid w:val="00B41785"/>
    <w:rsid w:val="00B47893"/>
    <w:rsid w:val="00B51613"/>
    <w:rsid w:val="00B52C5B"/>
    <w:rsid w:val="00B5316E"/>
    <w:rsid w:val="00B532FA"/>
    <w:rsid w:val="00B563E3"/>
    <w:rsid w:val="00B5681F"/>
    <w:rsid w:val="00B57955"/>
    <w:rsid w:val="00B57B8B"/>
    <w:rsid w:val="00B60813"/>
    <w:rsid w:val="00B637C1"/>
    <w:rsid w:val="00B63EAA"/>
    <w:rsid w:val="00B658C4"/>
    <w:rsid w:val="00B66CE3"/>
    <w:rsid w:val="00B66E16"/>
    <w:rsid w:val="00B675E2"/>
    <w:rsid w:val="00B711E5"/>
    <w:rsid w:val="00B71965"/>
    <w:rsid w:val="00B72C0D"/>
    <w:rsid w:val="00B73266"/>
    <w:rsid w:val="00B74A59"/>
    <w:rsid w:val="00B74FD8"/>
    <w:rsid w:val="00B76A0C"/>
    <w:rsid w:val="00B77034"/>
    <w:rsid w:val="00B77D64"/>
    <w:rsid w:val="00B8375F"/>
    <w:rsid w:val="00B83A4B"/>
    <w:rsid w:val="00B83FC5"/>
    <w:rsid w:val="00B87A23"/>
    <w:rsid w:val="00B902CE"/>
    <w:rsid w:val="00B904EB"/>
    <w:rsid w:val="00B915E6"/>
    <w:rsid w:val="00B93476"/>
    <w:rsid w:val="00B93CEF"/>
    <w:rsid w:val="00B9420A"/>
    <w:rsid w:val="00B96670"/>
    <w:rsid w:val="00B96B43"/>
    <w:rsid w:val="00B9799E"/>
    <w:rsid w:val="00BA1535"/>
    <w:rsid w:val="00BA183F"/>
    <w:rsid w:val="00BA21A1"/>
    <w:rsid w:val="00BA3DB6"/>
    <w:rsid w:val="00BA45C7"/>
    <w:rsid w:val="00BA5496"/>
    <w:rsid w:val="00BA6A0A"/>
    <w:rsid w:val="00BB0F73"/>
    <w:rsid w:val="00BB2B12"/>
    <w:rsid w:val="00BB2B56"/>
    <w:rsid w:val="00BB4DFF"/>
    <w:rsid w:val="00BB6A72"/>
    <w:rsid w:val="00BB755B"/>
    <w:rsid w:val="00BB7691"/>
    <w:rsid w:val="00BB79EA"/>
    <w:rsid w:val="00BC0339"/>
    <w:rsid w:val="00BC0440"/>
    <w:rsid w:val="00BC197F"/>
    <w:rsid w:val="00BC28C9"/>
    <w:rsid w:val="00BC2DEF"/>
    <w:rsid w:val="00BC369C"/>
    <w:rsid w:val="00BC3A7C"/>
    <w:rsid w:val="00BC4D9F"/>
    <w:rsid w:val="00BC6089"/>
    <w:rsid w:val="00BD2BCE"/>
    <w:rsid w:val="00BD2C30"/>
    <w:rsid w:val="00BD71B7"/>
    <w:rsid w:val="00BE0F2C"/>
    <w:rsid w:val="00BE208D"/>
    <w:rsid w:val="00BE2E18"/>
    <w:rsid w:val="00BE31E4"/>
    <w:rsid w:val="00BE3346"/>
    <w:rsid w:val="00BE3397"/>
    <w:rsid w:val="00BE4A49"/>
    <w:rsid w:val="00BE61E5"/>
    <w:rsid w:val="00BE6F00"/>
    <w:rsid w:val="00BF0652"/>
    <w:rsid w:val="00BF100B"/>
    <w:rsid w:val="00BF109B"/>
    <w:rsid w:val="00BF1C78"/>
    <w:rsid w:val="00BF2094"/>
    <w:rsid w:val="00BF3A28"/>
    <w:rsid w:val="00BF3B09"/>
    <w:rsid w:val="00BF3BB3"/>
    <w:rsid w:val="00BF3C7E"/>
    <w:rsid w:val="00BF3CED"/>
    <w:rsid w:val="00BF487E"/>
    <w:rsid w:val="00BF545F"/>
    <w:rsid w:val="00BF6236"/>
    <w:rsid w:val="00BF6E0A"/>
    <w:rsid w:val="00BF74C0"/>
    <w:rsid w:val="00BF7BAA"/>
    <w:rsid w:val="00C0109A"/>
    <w:rsid w:val="00C029A7"/>
    <w:rsid w:val="00C04330"/>
    <w:rsid w:val="00C04C68"/>
    <w:rsid w:val="00C071FA"/>
    <w:rsid w:val="00C07672"/>
    <w:rsid w:val="00C103F9"/>
    <w:rsid w:val="00C11CCE"/>
    <w:rsid w:val="00C12B22"/>
    <w:rsid w:val="00C13A1D"/>
    <w:rsid w:val="00C13A33"/>
    <w:rsid w:val="00C158BC"/>
    <w:rsid w:val="00C15E06"/>
    <w:rsid w:val="00C170DB"/>
    <w:rsid w:val="00C17DC3"/>
    <w:rsid w:val="00C20A91"/>
    <w:rsid w:val="00C223AB"/>
    <w:rsid w:val="00C23325"/>
    <w:rsid w:val="00C23420"/>
    <w:rsid w:val="00C23CA1"/>
    <w:rsid w:val="00C23D59"/>
    <w:rsid w:val="00C248BD"/>
    <w:rsid w:val="00C3025C"/>
    <w:rsid w:val="00C30741"/>
    <w:rsid w:val="00C318E8"/>
    <w:rsid w:val="00C35B91"/>
    <w:rsid w:val="00C36234"/>
    <w:rsid w:val="00C417D8"/>
    <w:rsid w:val="00C41B1E"/>
    <w:rsid w:val="00C4295B"/>
    <w:rsid w:val="00C43C7B"/>
    <w:rsid w:val="00C44111"/>
    <w:rsid w:val="00C44548"/>
    <w:rsid w:val="00C465CD"/>
    <w:rsid w:val="00C46C1F"/>
    <w:rsid w:val="00C47B15"/>
    <w:rsid w:val="00C47B56"/>
    <w:rsid w:val="00C50693"/>
    <w:rsid w:val="00C50E34"/>
    <w:rsid w:val="00C50EB3"/>
    <w:rsid w:val="00C525F7"/>
    <w:rsid w:val="00C53CD6"/>
    <w:rsid w:val="00C54077"/>
    <w:rsid w:val="00C540A4"/>
    <w:rsid w:val="00C565BD"/>
    <w:rsid w:val="00C57037"/>
    <w:rsid w:val="00C5718A"/>
    <w:rsid w:val="00C57B50"/>
    <w:rsid w:val="00C60DBF"/>
    <w:rsid w:val="00C61C68"/>
    <w:rsid w:val="00C62D5A"/>
    <w:rsid w:val="00C64873"/>
    <w:rsid w:val="00C64B0D"/>
    <w:rsid w:val="00C66908"/>
    <w:rsid w:val="00C67084"/>
    <w:rsid w:val="00C7153F"/>
    <w:rsid w:val="00C71BAC"/>
    <w:rsid w:val="00C71C8C"/>
    <w:rsid w:val="00C7211C"/>
    <w:rsid w:val="00C72513"/>
    <w:rsid w:val="00C72E2C"/>
    <w:rsid w:val="00C807BE"/>
    <w:rsid w:val="00C80D25"/>
    <w:rsid w:val="00C81E3D"/>
    <w:rsid w:val="00C8329C"/>
    <w:rsid w:val="00C83776"/>
    <w:rsid w:val="00C840F0"/>
    <w:rsid w:val="00C851C1"/>
    <w:rsid w:val="00C85C99"/>
    <w:rsid w:val="00C867A2"/>
    <w:rsid w:val="00C879CC"/>
    <w:rsid w:val="00C9047F"/>
    <w:rsid w:val="00C939F0"/>
    <w:rsid w:val="00C952D1"/>
    <w:rsid w:val="00C97180"/>
    <w:rsid w:val="00CA05FA"/>
    <w:rsid w:val="00CA27DB"/>
    <w:rsid w:val="00CA2BA7"/>
    <w:rsid w:val="00CA4856"/>
    <w:rsid w:val="00CA5C61"/>
    <w:rsid w:val="00CB1117"/>
    <w:rsid w:val="00CB20C6"/>
    <w:rsid w:val="00CB3A11"/>
    <w:rsid w:val="00CB3C48"/>
    <w:rsid w:val="00CB44CE"/>
    <w:rsid w:val="00CB4C4D"/>
    <w:rsid w:val="00CB4F8E"/>
    <w:rsid w:val="00CB5159"/>
    <w:rsid w:val="00CB52B5"/>
    <w:rsid w:val="00CB5FF3"/>
    <w:rsid w:val="00CB6017"/>
    <w:rsid w:val="00CB6559"/>
    <w:rsid w:val="00CB66D0"/>
    <w:rsid w:val="00CB69C2"/>
    <w:rsid w:val="00CB737C"/>
    <w:rsid w:val="00CB7D29"/>
    <w:rsid w:val="00CC152C"/>
    <w:rsid w:val="00CC31B9"/>
    <w:rsid w:val="00CC4039"/>
    <w:rsid w:val="00CC5DA2"/>
    <w:rsid w:val="00CC743B"/>
    <w:rsid w:val="00CD0470"/>
    <w:rsid w:val="00CD0F98"/>
    <w:rsid w:val="00CD1211"/>
    <w:rsid w:val="00CD1760"/>
    <w:rsid w:val="00CD2843"/>
    <w:rsid w:val="00CD2AB3"/>
    <w:rsid w:val="00CD331A"/>
    <w:rsid w:val="00CD4DFD"/>
    <w:rsid w:val="00CD557B"/>
    <w:rsid w:val="00CD574D"/>
    <w:rsid w:val="00CD6DCD"/>
    <w:rsid w:val="00CD7A9F"/>
    <w:rsid w:val="00CE0D5B"/>
    <w:rsid w:val="00CE14D8"/>
    <w:rsid w:val="00CE1D30"/>
    <w:rsid w:val="00CE1D3C"/>
    <w:rsid w:val="00CE2575"/>
    <w:rsid w:val="00CE2D48"/>
    <w:rsid w:val="00CE3294"/>
    <w:rsid w:val="00CE3DBC"/>
    <w:rsid w:val="00CE4961"/>
    <w:rsid w:val="00CE74ED"/>
    <w:rsid w:val="00CF04E8"/>
    <w:rsid w:val="00CF0C37"/>
    <w:rsid w:val="00CF257E"/>
    <w:rsid w:val="00CF2885"/>
    <w:rsid w:val="00CF58E7"/>
    <w:rsid w:val="00CF7666"/>
    <w:rsid w:val="00D0254C"/>
    <w:rsid w:val="00D02834"/>
    <w:rsid w:val="00D03A73"/>
    <w:rsid w:val="00D03C9A"/>
    <w:rsid w:val="00D04960"/>
    <w:rsid w:val="00D04F04"/>
    <w:rsid w:val="00D04F3F"/>
    <w:rsid w:val="00D0546C"/>
    <w:rsid w:val="00D07175"/>
    <w:rsid w:val="00D0718A"/>
    <w:rsid w:val="00D07E53"/>
    <w:rsid w:val="00D10E18"/>
    <w:rsid w:val="00D13289"/>
    <w:rsid w:val="00D1489F"/>
    <w:rsid w:val="00D16F15"/>
    <w:rsid w:val="00D202F8"/>
    <w:rsid w:val="00D203E9"/>
    <w:rsid w:val="00D20DC7"/>
    <w:rsid w:val="00D21020"/>
    <w:rsid w:val="00D216C1"/>
    <w:rsid w:val="00D222BB"/>
    <w:rsid w:val="00D22B0C"/>
    <w:rsid w:val="00D237B3"/>
    <w:rsid w:val="00D2454A"/>
    <w:rsid w:val="00D264DF"/>
    <w:rsid w:val="00D264F6"/>
    <w:rsid w:val="00D26A31"/>
    <w:rsid w:val="00D2707D"/>
    <w:rsid w:val="00D321A6"/>
    <w:rsid w:val="00D32DA0"/>
    <w:rsid w:val="00D356D4"/>
    <w:rsid w:val="00D40189"/>
    <w:rsid w:val="00D40729"/>
    <w:rsid w:val="00D40A1D"/>
    <w:rsid w:val="00D42D59"/>
    <w:rsid w:val="00D4365E"/>
    <w:rsid w:val="00D43EE2"/>
    <w:rsid w:val="00D45FE3"/>
    <w:rsid w:val="00D47431"/>
    <w:rsid w:val="00D478A6"/>
    <w:rsid w:val="00D50753"/>
    <w:rsid w:val="00D534C4"/>
    <w:rsid w:val="00D550DE"/>
    <w:rsid w:val="00D60BE8"/>
    <w:rsid w:val="00D62BBC"/>
    <w:rsid w:val="00D63A93"/>
    <w:rsid w:val="00D63FAB"/>
    <w:rsid w:val="00D66049"/>
    <w:rsid w:val="00D67612"/>
    <w:rsid w:val="00D70F21"/>
    <w:rsid w:val="00D72571"/>
    <w:rsid w:val="00D72BA3"/>
    <w:rsid w:val="00D74F1D"/>
    <w:rsid w:val="00D757FE"/>
    <w:rsid w:val="00D75BC5"/>
    <w:rsid w:val="00D800EC"/>
    <w:rsid w:val="00D804E5"/>
    <w:rsid w:val="00D810AA"/>
    <w:rsid w:val="00D81965"/>
    <w:rsid w:val="00D82CB1"/>
    <w:rsid w:val="00D857D0"/>
    <w:rsid w:val="00D90218"/>
    <w:rsid w:val="00D918EF"/>
    <w:rsid w:val="00D91DAD"/>
    <w:rsid w:val="00D921DC"/>
    <w:rsid w:val="00D93643"/>
    <w:rsid w:val="00D939B1"/>
    <w:rsid w:val="00D939DD"/>
    <w:rsid w:val="00D944FA"/>
    <w:rsid w:val="00D94813"/>
    <w:rsid w:val="00D95097"/>
    <w:rsid w:val="00D95B39"/>
    <w:rsid w:val="00D95FE2"/>
    <w:rsid w:val="00DA0509"/>
    <w:rsid w:val="00DA0A5B"/>
    <w:rsid w:val="00DA0B21"/>
    <w:rsid w:val="00DA0D01"/>
    <w:rsid w:val="00DA144F"/>
    <w:rsid w:val="00DA1846"/>
    <w:rsid w:val="00DA321C"/>
    <w:rsid w:val="00DA5B3E"/>
    <w:rsid w:val="00DA77F9"/>
    <w:rsid w:val="00DB0865"/>
    <w:rsid w:val="00DB1735"/>
    <w:rsid w:val="00DB1A1E"/>
    <w:rsid w:val="00DB1CA7"/>
    <w:rsid w:val="00DB335A"/>
    <w:rsid w:val="00DB550A"/>
    <w:rsid w:val="00DB66D4"/>
    <w:rsid w:val="00DB785D"/>
    <w:rsid w:val="00DB7AEB"/>
    <w:rsid w:val="00DC0DB9"/>
    <w:rsid w:val="00DC21CD"/>
    <w:rsid w:val="00DC408E"/>
    <w:rsid w:val="00DC43DE"/>
    <w:rsid w:val="00DC53B3"/>
    <w:rsid w:val="00DC5756"/>
    <w:rsid w:val="00DC6826"/>
    <w:rsid w:val="00DC6BE2"/>
    <w:rsid w:val="00DC7C57"/>
    <w:rsid w:val="00DC7ECE"/>
    <w:rsid w:val="00DC7F73"/>
    <w:rsid w:val="00DD35AE"/>
    <w:rsid w:val="00DD5248"/>
    <w:rsid w:val="00DD7262"/>
    <w:rsid w:val="00DD7646"/>
    <w:rsid w:val="00DE134F"/>
    <w:rsid w:val="00DE2574"/>
    <w:rsid w:val="00DE3120"/>
    <w:rsid w:val="00DE43B7"/>
    <w:rsid w:val="00DE48C6"/>
    <w:rsid w:val="00DE52B1"/>
    <w:rsid w:val="00DE5697"/>
    <w:rsid w:val="00DE69B0"/>
    <w:rsid w:val="00DE74E1"/>
    <w:rsid w:val="00DF0933"/>
    <w:rsid w:val="00DF1EB5"/>
    <w:rsid w:val="00DF29A6"/>
    <w:rsid w:val="00DF6307"/>
    <w:rsid w:val="00DF68F3"/>
    <w:rsid w:val="00DF6F08"/>
    <w:rsid w:val="00E00070"/>
    <w:rsid w:val="00E0024C"/>
    <w:rsid w:val="00E01CE1"/>
    <w:rsid w:val="00E0253C"/>
    <w:rsid w:val="00E0368C"/>
    <w:rsid w:val="00E03B97"/>
    <w:rsid w:val="00E03CED"/>
    <w:rsid w:val="00E03F31"/>
    <w:rsid w:val="00E040EE"/>
    <w:rsid w:val="00E05D9C"/>
    <w:rsid w:val="00E104D0"/>
    <w:rsid w:val="00E117EF"/>
    <w:rsid w:val="00E13676"/>
    <w:rsid w:val="00E1415E"/>
    <w:rsid w:val="00E14C40"/>
    <w:rsid w:val="00E152F8"/>
    <w:rsid w:val="00E15A61"/>
    <w:rsid w:val="00E16C9C"/>
    <w:rsid w:val="00E20697"/>
    <w:rsid w:val="00E2069E"/>
    <w:rsid w:val="00E20894"/>
    <w:rsid w:val="00E2402C"/>
    <w:rsid w:val="00E26AF9"/>
    <w:rsid w:val="00E271A3"/>
    <w:rsid w:val="00E306B0"/>
    <w:rsid w:val="00E318DB"/>
    <w:rsid w:val="00E31A99"/>
    <w:rsid w:val="00E34C36"/>
    <w:rsid w:val="00E35986"/>
    <w:rsid w:val="00E41D37"/>
    <w:rsid w:val="00E449CC"/>
    <w:rsid w:val="00E45651"/>
    <w:rsid w:val="00E46FAA"/>
    <w:rsid w:val="00E47360"/>
    <w:rsid w:val="00E47566"/>
    <w:rsid w:val="00E51247"/>
    <w:rsid w:val="00E51989"/>
    <w:rsid w:val="00E520D1"/>
    <w:rsid w:val="00E5261C"/>
    <w:rsid w:val="00E5274F"/>
    <w:rsid w:val="00E52BE3"/>
    <w:rsid w:val="00E532BE"/>
    <w:rsid w:val="00E54361"/>
    <w:rsid w:val="00E54E73"/>
    <w:rsid w:val="00E56282"/>
    <w:rsid w:val="00E57BA3"/>
    <w:rsid w:val="00E57C4A"/>
    <w:rsid w:val="00E6418B"/>
    <w:rsid w:val="00E64AD0"/>
    <w:rsid w:val="00E661B0"/>
    <w:rsid w:val="00E70404"/>
    <w:rsid w:val="00E70452"/>
    <w:rsid w:val="00E70CF9"/>
    <w:rsid w:val="00E713A3"/>
    <w:rsid w:val="00E72EB5"/>
    <w:rsid w:val="00E7301D"/>
    <w:rsid w:val="00E7345F"/>
    <w:rsid w:val="00E73CF5"/>
    <w:rsid w:val="00E74A41"/>
    <w:rsid w:val="00E755E3"/>
    <w:rsid w:val="00E76635"/>
    <w:rsid w:val="00E80CEA"/>
    <w:rsid w:val="00E81BC5"/>
    <w:rsid w:val="00E8274C"/>
    <w:rsid w:val="00E82CC1"/>
    <w:rsid w:val="00E83502"/>
    <w:rsid w:val="00E8356F"/>
    <w:rsid w:val="00E8378E"/>
    <w:rsid w:val="00E8557E"/>
    <w:rsid w:val="00E86791"/>
    <w:rsid w:val="00E869B9"/>
    <w:rsid w:val="00E875B3"/>
    <w:rsid w:val="00E87659"/>
    <w:rsid w:val="00E900F5"/>
    <w:rsid w:val="00E90D20"/>
    <w:rsid w:val="00E90D7C"/>
    <w:rsid w:val="00E91002"/>
    <w:rsid w:val="00E914E1"/>
    <w:rsid w:val="00E92115"/>
    <w:rsid w:val="00E92E22"/>
    <w:rsid w:val="00E95CAC"/>
    <w:rsid w:val="00EA0689"/>
    <w:rsid w:val="00EA0852"/>
    <w:rsid w:val="00EA222A"/>
    <w:rsid w:val="00EA2EF2"/>
    <w:rsid w:val="00EA4240"/>
    <w:rsid w:val="00EA5025"/>
    <w:rsid w:val="00EA5BB8"/>
    <w:rsid w:val="00EA718F"/>
    <w:rsid w:val="00EA7B2E"/>
    <w:rsid w:val="00EB17FA"/>
    <w:rsid w:val="00EB38C9"/>
    <w:rsid w:val="00EB455F"/>
    <w:rsid w:val="00EB5015"/>
    <w:rsid w:val="00EC01D9"/>
    <w:rsid w:val="00EC04A3"/>
    <w:rsid w:val="00EC0659"/>
    <w:rsid w:val="00EC31CD"/>
    <w:rsid w:val="00EC5B5F"/>
    <w:rsid w:val="00EC7057"/>
    <w:rsid w:val="00EC70A2"/>
    <w:rsid w:val="00ED0937"/>
    <w:rsid w:val="00ED1440"/>
    <w:rsid w:val="00ED1472"/>
    <w:rsid w:val="00ED1478"/>
    <w:rsid w:val="00ED21B8"/>
    <w:rsid w:val="00ED2594"/>
    <w:rsid w:val="00ED25F0"/>
    <w:rsid w:val="00ED408F"/>
    <w:rsid w:val="00ED677E"/>
    <w:rsid w:val="00ED6BD2"/>
    <w:rsid w:val="00EE06AA"/>
    <w:rsid w:val="00EE17A0"/>
    <w:rsid w:val="00EE1BBB"/>
    <w:rsid w:val="00EE222B"/>
    <w:rsid w:val="00EE35BE"/>
    <w:rsid w:val="00EE6044"/>
    <w:rsid w:val="00EE7E27"/>
    <w:rsid w:val="00EF0009"/>
    <w:rsid w:val="00EF00C0"/>
    <w:rsid w:val="00EF0665"/>
    <w:rsid w:val="00EF2355"/>
    <w:rsid w:val="00EF4459"/>
    <w:rsid w:val="00EF4F68"/>
    <w:rsid w:val="00EF6201"/>
    <w:rsid w:val="00EF658D"/>
    <w:rsid w:val="00EF6B02"/>
    <w:rsid w:val="00F0046A"/>
    <w:rsid w:val="00F00AF9"/>
    <w:rsid w:val="00F024B0"/>
    <w:rsid w:val="00F029BD"/>
    <w:rsid w:val="00F05347"/>
    <w:rsid w:val="00F05389"/>
    <w:rsid w:val="00F07479"/>
    <w:rsid w:val="00F10DBE"/>
    <w:rsid w:val="00F1118F"/>
    <w:rsid w:val="00F11ECB"/>
    <w:rsid w:val="00F124B4"/>
    <w:rsid w:val="00F16688"/>
    <w:rsid w:val="00F20FDB"/>
    <w:rsid w:val="00F21116"/>
    <w:rsid w:val="00F21EDB"/>
    <w:rsid w:val="00F222D9"/>
    <w:rsid w:val="00F23EE1"/>
    <w:rsid w:val="00F27D92"/>
    <w:rsid w:val="00F3262E"/>
    <w:rsid w:val="00F35C13"/>
    <w:rsid w:val="00F40221"/>
    <w:rsid w:val="00F415C8"/>
    <w:rsid w:val="00F418BB"/>
    <w:rsid w:val="00F420F2"/>
    <w:rsid w:val="00F43949"/>
    <w:rsid w:val="00F43E01"/>
    <w:rsid w:val="00F44C35"/>
    <w:rsid w:val="00F478FE"/>
    <w:rsid w:val="00F5113B"/>
    <w:rsid w:val="00F523B0"/>
    <w:rsid w:val="00F533A6"/>
    <w:rsid w:val="00F53E9A"/>
    <w:rsid w:val="00F5468C"/>
    <w:rsid w:val="00F57BA8"/>
    <w:rsid w:val="00F57DD2"/>
    <w:rsid w:val="00F60C24"/>
    <w:rsid w:val="00F60EA3"/>
    <w:rsid w:val="00F63D37"/>
    <w:rsid w:val="00F653B3"/>
    <w:rsid w:val="00F657A0"/>
    <w:rsid w:val="00F67D35"/>
    <w:rsid w:val="00F67F13"/>
    <w:rsid w:val="00F70D05"/>
    <w:rsid w:val="00F721CC"/>
    <w:rsid w:val="00F7238C"/>
    <w:rsid w:val="00F732DF"/>
    <w:rsid w:val="00F76B82"/>
    <w:rsid w:val="00F81588"/>
    <w:rsid w:val="00F81A1C"/>
    <w:rsid w:val="00F831F6"/>
    <w:rsid w:val="00F835FD"/>
    <w:rsid w:val="00F87927"/>
    <w:rsid w:val="00F9043E"/>
    <w:rsid w:val="00F90B2E"/>
    <w:rsid w:val="00F928BE"/>
    <w:rsid w:val="00F933ED"/>
    <w:rsid w:val="00F934CF"/>
    <w:rsid w:val="00F93733"/>
    <w:rsid w:val="00F939E4"/>
    <w:rsid w:val="00F95C1B"/>
    <w:rsid w:val="00F95FC4"/>
    <w:rsid w:val="00F96C83"/>
    <w:rsid w:val="00F96D83"/>
    <w:rsid w:val="00F97490"/>
    <w:rsid w:val="00F97BAD"/>
    <w:rsid w:val="00F97C85"/>
    <w:rsid w:val="00FA0446"/>
    <w:rsid w:val="00FA7030"/>
    <w:rsid w:val="00FA7958"/>
    <w:rsid w:val="00FB03E1"/>
    <w:rsid w:val="00FB2D63"/>
    <w:rsid w:val="00FB3162"/>
    <w:rsid w:val="00FB3FCA"/>
    <w:rsid w:val="00FB462F"/>
    <w:rsid w:val="00FB4649"/>
    <w:rsid w:val="00FB6182"/>
    <w:rsid w:val="00FB64EE"/>
    <w:rsid w:val="00FB71AE"/>
    <w:rsid w:val="00FC22BF"/>
    <w:rsid w:val="00FC2FD7"/>
    <w:rsid w:val="00FC3356"/>
    <w:rsid w:val="00FD1C21"/>
    <w:rsid w:val="00FD2E65"/>
    <w:rsid w:val="00FD3968"/>
    <w:rsid w:val="00FD465B"/>
    <w:rsid w:val="00FD4C61"/>
    <w:rsid w:val="00FD50B9"/>
    <w:rsid w:val="00FD5225"/>
    <w:rsid w:val="00FD5C71"/>
    <w:rsid w:val="00FD6BAA"/>
    <w:rsid w:val="00FE0C17"/>
    <w:rsid w:val="00FE1F69"/>
    <w:rsid w:val="00FE44B9"/>
    <w:rsid w:val="00FE4BCB"/>
    <w:rsid w:val="00FE7B3B"/>
    <w:rsid w:val="00FF0714"/>
    <w:rsid w:val="00FF4F15"/>
    <w:rsid w:val="00FF63D5"/>
    <w:rsid w:val="036B44C7"/>
    <w:rsid w:val="09B3374B"/>
    <w:rsid w:val="41890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17F4A"/>
  <w15:chartTrackingRefBased/>
  <w15:docId w15:val="{C6F9DD95-49A5-4A76-B36D-FAAAD6C1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de-AT" w:eastAsia="de-AT"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qFormat="1"/>
    <w:lsdException w:name="annotation text" w:semiHidden="1" w:uiPriority="99"/>
    <w:lsdException w:name="header" w:semiHidden="1" w:uiPriority="99"/>
    <w:lsdException w:name="footer" w:semiHidden="1" w:uiPriority="9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uiPriority="99"/>
    <w:lsdException w:name="endnote text" w:semiHidden="1" w:uiPriority="99"/>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99"/>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lsdException w:name="TOC Heading" w:semiHidden="1" w:uiPriority="39" w:unhideWhenUsed="1" w:qFormat="1"/>
  </w:latentStyles>
  <w:style w:type="paragraph" w:default="1" w:styleId="Normal">
    <w:name w:val="Normal"/>
    <w:qFormat/>
    <w:rsid w:val="007C388C"/>
    <w:pPr>
      <w:spacing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3F1496"/>
    <w:pPr>
      <w:keepLines/>
      <w:pBdr>
        <w:top w:val="single" w:sz="24" w:space="0" w:color="5B9BD5"/>
        <w:left w:val="single" w:sz="24" w:space="0" w:color="5B9BD5"/>
        <w:bottom w:val="single" w:sz="24" w:space="0" w:color="5B9BD5"/>
        <w:right w:val="single" w:sz="24" w:space="0" w:color="5B9BD5"/>
      </w:pBdr>
      <w:shd w:val="clear" w:color="auto" w:fill="5B9BD5"/>
      <w:spacing w:before="120" w:line="276" w:lineRule="auto"/>
      <w:jc w:val="both"/>
      <w:outlineLvl w:val="0"/>
    </w:pPr>
    <w:rPr>
      <w:rFonts w:ascii="Verdana" w:hAnsi="Verdana"/>
      <w:caps/>
      <w:color w:val="FFFFFF"/>
      <w:spacing w:val="15"/>
      <w:sz w:val="22"/>
      <w:szCs w:val="22"/>
    </w:rPr>
  </w:style>
  <w:style w:type="paragraph" w:styleId="Heading2">
    <w:name w:val="heading 2"/>
    <w:basedOn w:val="Normal"/>
    <w:next w:val="Normal"/>
    <w:link w:val="Heading2Char"/>
    <w:uiPriority w:val="9"/>
    <w:unhideWhenUsed/>
    <w:qFormat/>
    <w:rsid w:val="003F1496"/>
    <w:pPr>
      <w:keepLines/>
      <w:shd w:val="clear" w:color="auto" w:fill="C5E0B3"/>
      <w:spacing w:before="120" w:line="276" w:lineRule="auto"/>
      <w:jc w:val="both"/>
      <w:outlineLvl w:val="1"/>
    </w:pPr>
    <w:rPr>
      <w:rFonts w:ascii="Verdana" w:hAnsi="Verdana"/>
      <w:b/>
      <w:smallCaps/>
      <w:spacing w:val="15"/>
      <w:sz w:val="20"/>
      <w:szCs w:val="20"/>
    </w:rPr>
  </w:style>
  <w:style w:type="paragraph" w:styleId="Heading3">
    <w:name w:val="heading 3"/>
    <w:basedOn w:val="Normal"/>
    <w:next w:val="Normal"/>
    <w:link w:val="Heading3Char"/>
    <w:uiPriority w:val="9"/>
    <w:unhideWhenUsed/>
    <w:qFormat/>
    <w:rsid w:val="003F1496"/>
    <w:pPr>
      <w:keepLines/>
      <w:pBdr>
        <w:top w:val="single" w:sz="6" w:space="2" w:color="538135"/>
      </w:pBdr>
      <w:spacing w:before="300" w:line="276" w:lineRule="auto"/>
      <w:jc w:val="both"/>
      <w:outlineLvl w:val="2"/>
    </w:pPr>
    <w:rPr>
      <w:rFonts w:ascii="Verdana" w:hAnsi="Verdana"/>
      <w:caps/>
      <w:color w:val="538135"/>
      <w:spacing w:val="15"/>
      <w:sz w:val="20"/>
      <w:szCs w:val="20"/>
    </w:rPr>
  </w:style>
  <w:style w:type="paragraph" w:styleId="Heading4">
    <w:name w:val="heading 4"/>
    <w:basedOn w:val="Normal"/>
    <w:next w:val="Normal"/>
    <w:link w:val="Heading4Char"/>
    <w:uiPriority w:val="9"/>
    <w:semiHidden/>
    <w:unhideWhenUsed/>
    <w:qFormat/>
    <w:rsid w:val="003F1496"/>
    <w:pPr>
      <w:keepLines/>
      <w:pBdr>
        <w:top w:val="dotted" w:sz="6" w:space="2" w:color="5B9BD5"/>
      </w:pBdr>
      <w:spacing w:before="200" w:line="276" w:lineRule="auto"/>
      <w:jc w:val="both"/>
      <w:outlineLvl w:val="3"/>
    </w:pPr>
    <w:rPr>
      <w:rFonts w:ascii="Verdana" w:hAnsi="Verdana"/>
      <w:caps/>
      <w:color w:val="2E74B5"/>
      <w:spacing w:val="10"/>
      <w:sz w:val="20"/>
      <w:szCs w:val="20"/>
    </w:rPr>
  </w:style>
  <w:style w:type="paragraph" w:styleId="Heading5">
    <w:name w:val="heading 5"/>
    <w:basedOn w:val="Normal"/>
    <w:next w:val="Normal"/>
    <w:link w:val="Heading5Char"/>
    <w:uiPriority w:val="9"/>
    <w:semiHidden/>
    <w:unhideWhenUsed/>
    <w:qFormat/>
    <w:rsid w:val="003F1496"/>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rsid w:val="003F1496"/>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rsid w:val="003F1496"/>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rsid w:val="003F1496"/>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3F1496"/>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zero">
    <w:name w:val="S_zero"/>
    <w:hidden/>
    <w:uiPriority w:val="1"/>
  </w:style>
  <w:style w:type="paragraph" w:customStyle="1" w:styleId="SheadingI">
    <w:name w:val="S_heading I."/>
    <w:basedOn w:val="Stext"/>
    <w:next w:val="Sheading1"/>
    <w:qFormat/>
    <w:pPr>
      <w:keepNext/>
      <w:keepLines/>
      <w:numPr>
        <w:numId w:val="1"/>
      </w:numPr>
      <w:outlineLvl w:val="0"/>
    </w:pPr>
    <w:rPr>
      <w:b/>
    </w:rPr>
  </w:style>
  <w:style w:type="paragraph" w:customStyle="1" w:styleId="Sheading1">
    <w:name w:val="S_heading 1"/>
    <w:basedOn w:val="Stext1"/>
    <w:next w:val="Stext1"/>
    <w:uiPriority w:val="1"/>
    <w:qFormat/>
    <w:pPr>
      <w:keepNext/>
      <w:keepLines/>
      <w:numPr>
        <w:ilvl w:val="1"/>
        <w:numId w:val="1"/>
      </w:numPr>
      <w:outlineLvl w:val="0"/>
    </w:pPr>
    <w:rPr>
      <w:b/>
    </w:rPr>
  </w:style>
  <w:style w:type="paragraph" w:customStyle="1" w:styleId="Sheading2">
    <w:name w:val="S_heading 2"/>
    <w:basedOn w:val="Stext2"/>
    <w:next w:val="Stext2"/>
    <w:uiPriority w:val="1"/>
    <w:qFormat/>
    <w:pPr>
      <w:keepNext/>
      <w:keepLines/>
      <w:numPr>
        <w:ilvl w:val="2"/>
        <w:numId w:val="1"/>
      </w:numPr>
      <w:outlineLvl w:val="1"/>
    </w:pPr>
  </w:style>
  <w:style w:type="paragraph" w:customStyle="1" w:styleId="Sheading3">
    <w:name w:val="S_heading 3"/>
    <w:basedOn w:val="Stext3"/>
    <w:next w:val="Stext3"/>
    <w:uiPriority w:val="1"/>
    <w:qFormat/>
    <w:pPr>
      <w:keepNext/>
      <w:keepLines/>
      <w:numPr>
        <w:ilvl w:val="3"/>
        <w:numId w:val="1"/>
      </w:numPr>
      <w:outlineLvl w:val="2"/>
    </w:pPr>
  </w:style>
  <w:style w:type="paragraph" w:customStyle="1" w:styleId="Sheading4">
    <w:name w:val="S_heading 4"/>
    <w:basedOn w:val="Stext4"/>
    <w:next w:val="Stext4"/>
    <w:uiPriority w:val="1"/>
    <w:qFormat/>
    <w:pPr>
      <w:keepNext/>
      <w:keepLines/>
      <w:numPr>
        <w:ilvl w:val="4"/>
        <w:numId w:val="1"/>
      </w:numPr>
      <w:outlineLvl w:val="3"/>
    </w:pPr>
  </w:style>
  <w:style w:type="paragraph" w:customStyle="1" w:styleId="Sheading5">
    <w:name w:val="S_heading 5"/>
    <w:basedOn w:val="Stext5"/>
    <w:next w:val="Stext5"/>
    <w:uiPriority w:val="1"/>
    <w:qFormat/>
    <w:pPr>
      <w:keepNext/>
      <w:keepLines/>
      <w:numPr>
        <w:ilvl w:val="5"/>
        <w:numId w:val="1"/>
      </w:numPr>
      <w:outlineLvl w:val="4"/>
    </w:pPr>
  </w:style>
  <w:style w:type="paragraph" w:customStyle="1" w:styleId="SheadingIarb">
    <w:name w:val="S_heading I._arb"/>
    <w:basedOn w:val="Stext"/>
    <w:next w:val="Sheading1arb"/>
    <w:uiPriority w:val="8"/>
    <w:semiHidden/>
    <w:unhideWhenUsed/>
    <w:qFormat/>
    <w:pPr>
      <w:keepNext/>
      <w:keepLines/>
      <w:numPr>
        <w:numId w:val="6"/>
      </w:numPr>
      <w:outlineLvl w:val="0"/>
    </w:pPr>
    <w:rPr>
      <w:b/>
    </w:rPr>
  </w:style>
  <w:style w:type="paragraph" w:customStyle="1" w:styleId="Sheading1arb">
    <w:name w:val="S_heading 1_arb"/>
    <w:basedOn w:val="Stext1"/>
    <w:next w:val="Stext1arb"/>
    <w:uiPriority w:val="9"/>
    <w:semiHidden/>
    <w:unhideWhenUsed/>
    <w:qFormat/>
    <w:pPr>
      <w:keepNext/>
      <w:keepLines/>
      <w:numPr>
        <w:ilvl w:val="1"/>
        <w:numId w:val="6"/>
      </w:numPr>
      <w:outlineLvl w:val="0"/>
    </w:pPr>
    <w:rPr>
      <w:b/>
    </w:rPr>
  </w:style>
  <w:style w:type="paragraph" w:customStyle="1" w:styleId="Sheading2arb">
    <w:name w:val="S_heading 2_arb"/>
    <w:basedOn w:val="Stext2"/>
    <w:next w:val="Stext2arb"/>
    <w:uiPriority w:val="9"/>
    <w:semiHidden/>
    <w:unhideWhenUsed/>
    <w:qFormat/>
    <w:pPr>
      <w:keepNext/>
      <w:keepLines/>
      <w:numPr>
        <w:ilvl w:val="2"/>
        <w:numId w:val="6"/>
      </w:numPr>
      <w:outlineLvl w:val="1"/>
    </w:pPr>
    <w:rPr>
      <w:b/>
    </w:rPr>
  </w:style>
  <w:style w:type="paragraph" w:customStyle="1" w:styleId="Sheading3arb">
    <w:name w:val="S_heading 3_arb"/>
    <w:basedOn w:val="Stext3"/>
    <w:next w:val="Stext3arb"/>
    <w:uiPriority w:val="9"/>
    <w:semiHidden/>
    <w:unhideWhenUsed/>
    <w:qFormat/>
    <w:pPr>
      <w:keepNext/>
      <w:keepLines/>
      <w:numPr>
        <w:ilvl w:val="3"/>
        <w:numId w:val="6"/>
      </w:numPr>
      <w:outlineLvl w:val="2"/>
    </w:pPr>
    <w:rPr>
      <w:b/>
    </w:rPr>
  </w:style>
  <w:style w:type="paragraph" w:customStyle="1" w:styleId="Sheading4arb">
    <w:name w:val="S_heading 4_arb"/>
    <w:basedOn w:val="Stext4"/>
    <w:next w:val="Stext4arb"/>
    <w:uiPriority w:val="9"/>
    <w:semiHidden/>
    <w:unhideWhenUsed/>
    <w:qFormat/>
    <w:pPr>
      <w:keepNext/>
      <w:keepLines/>
      <w:numPr>
        <w:ilvl w:val="4"/>
        <w:numId w:val="6"/>
      </w:numPr>
      <w:outlineLvl w:val="3"/>
    </w:pPr>
  </w:style>
  <w:style w:type="paragraph" w:customStyle="1" w:styleId="Sheading5arb">
    <w:name w:val="S_heading 5_arb"/>
    <w:basedOn w:val="Stext5arb"/>
    <w:next w:val="Stext5"/>
    <w:uiPriority w:val="9"/>
    <w:semiHidden/>
    <w:unhideWhenUsed/>
    <w:qFormat/>
    <w:pPr>
      <w:keepNext/>
      <w:keepLines/>
      <w:numPr>
        <w:ilvl w:val="5"/>
        <w:numId w:val="6"/>
      </w:numPr>
      <w:tabs>
        <w:tab w:val="clear" w:pos="2269"/>
        <w:tab w:val="num" w:pos="360"/>
      </w:tabs>
      <w:ind w:left="2978" w:firstLine="0"/>
      <w:outlineLvl w:val="4"/>
    </w:pPr>
  </w:style>
  <w:style w:type="paragraph" w:customStyle="1" w:styleId="SheadingIL">
    <w:name w:val="S_heading I. L"/>
    <w:basedOn w:val="Stext"/>
    <w:next w:val="SheadingL1"/>
    <w:uiPriority w:val="2"/>
    <w:semiHidden/>
    <w:unhideWhenUsed/>
    <w:qFormat/>
    <w:pPr>
      <w:keepNext/>
      <w:keepLines/>
      <w:numPr>
        <w:numId w:val="3"/>
      </w:numPr>
      <w:outlineLvl w:val="0"/>
    </w:pPr>
    <w:rPr>
      <w:b/>
    </w:rPr>
  </w:style>
  <w:style w:type="paragraph" w:customStyle="1" w:styleId="SheadingL1">
    <w:name w:val="S_headingL1"/>
    <w:basedOn w:val="Stext1"/>
    <w:next w:val="Stext1"/>
    <w:uiPriority w:val="3"/>
    <w:semiHidden/>
    <w:unhideWhenUsed/>
    <w:qFormat/>
    <w:pPr>
      <w:keepNext/>
      <w:numPr>
        <w:ilvl w:val="1"/>
        <w:numId w:val="3"/>
      </w:numPr>
      <w:outlineLvl w:val="0"/>
    </w:pPr>
    <w:rPr>
      <w:b/>
    </w:rPr>
  </w:style>
  <w:style w:type="paragraph" w:customStyle="1" w:styleId="SheadingL2">
    <w:name w:val="S_headingL2"/>
    <w:basedOn w:val="Stext2"/>
    <w:next w:val="Stext2"/>
    <w:uiPriority w:val="3"/>
    <w:semiHidden/>
    <w:unhideWhenUsed/>
    <w:qFormat/>
    <w:pPr>
      <w:keepNext/>
      <w:numPr>
        <w:ilvl w:val="2"/>
        <w:numId w:val="3"/>
      </w:numPr>
      <w:outlineLvl w:val="1"/>
    </w:pPr>
  </w:style>
  <w:style w:type="paragraph" w:customStyle="1" w:styleId="SheadingL3">
    <w:name w:val="S_headingL3"/>
    <w:basedOn w:val="Stext3"/>
    <w:next w:val="Stext3"/>
    <w:uiPriority w:val="3"/>
    <w:semiHidden/>
    <w:unhideWhenUsed/>
    <w:qFormat/>
    <w:pPr>
      <w:keepNext/>
      <w:numPr>
        <w:ilvl w:val="3"/>
        <w:numId w:val="3"/>
      </w:numPr>
      <w:outlineLvl w:val="2"/>
    </w:pPr>
  </w:style>
  <w:style w:type="paragraph" w:customStyle="1" w:styleId="SheadingL4">
    <w:name w:val="S_headingL4"/>
    <w:basedOn w:val="Stext4"/>
    <w:next w:val="Stext4"/>
    <w:uiPriority w:val="3"/>
    <w:semiHidden/>
    <w:unhideWhenUsed/>
    <w:qFormat/>
    <w:pPr>
      <w:keepNext/>
      <w:numPr>
        <w:ilvl w:val="4"/>
        <w:numId w:val="3"/>
      </w:numPr>
      <w:outlineLvl w:val="3"/>
    </w:pPr>
  </w:style>
  <w:style w:type="paragraph" w:customStyle="1" w:styleId="SheadingL5">
    <w:name w:val="S_headingL5"/>
    <w:basedOn w:val="Stext5"/>
    <w:next w:val="Stext5"/>
    <w:uiPriority w:val="3"/>
    <w:semiHidden/>
    <w:unhideWhenUsed/>
    <w:qFormat/>
    <w:pPr>
      <w:keepNext/>
      <w:numPr>
        <w:ilvl w:val="5"/>
        <w:numId w:val="3"/>
      </w:numPr>
      <w:outlineLvl w:val="4"/>
    </w:pPr>
  </w:style>
  <w:style w:type="paragraph" w:customStyle="1" w:styleId="SheadingIM">
    <w:name w:val="S_heading I. M"/>
    <w:basedOn w:val="Stext"/>
    <w:next w:val="SheadingM1"/>
    <w:uiPriority w:val="4"/>
    <w:semiHidden/>
    <w:unhideWhenUsed/>
    <w:qFormat/>
    <w:pPr>
      <w:keepNext/>
      <w:keepLines/>
      <w:numPr>
        <w:numId w:val="4"/>
      </w:numPr>
      <w:outlineLvl w:val="0"/>
    </w:pPr>
    <w:rPr>
      <w:b/>
    </w:rPr>
  </w:style>
  <w:style w:type="paragraph" w:customStyle="1" w:styleId="SheadingM1">
    <w:name w:val="S_headingM1"/>
    <w:basedOn w:val="Stext1"/>
    <w:next w:val="Stext1"/>
    <w:uiPriority w:val="5"/>
    <w:semiHidden/>
    <w:unhideWhenUsed/>
    <w:qFormat/>
    <w:pPr>
      <w:keepNext/>
      <w:numPr>
        <w:ilvl w:val="1"/>
        <w:numId w:val="4"/>
      </w:numPr>
      <w:outlineLvl w:val="0"/>
    </w:pPr>
    <w:rPr>
      <w:b/>
    </w:rPr>
  </w:style>
  <w:style w:type="paragraph" w:customStyle="1" w:styleId="SheadingM2">
    <w:name w:val="S_headingM2"/>
    <w:basedOn w:val="Stext2"/>
    <w:next w:val="Stext2"/>
    <w:uiPriority w:val="5"/>
    <w:semiHidden/>
    <w:unhideWhenUsed/>
    <w:qFormat/>
    <w:pPr>
      <w:keepNext/>
      <w:numPr>
        <w:ilvl w:val="2"/>
        <w:numId w:val="4"/>
      </w:numPr>
      <w:outlineLvl w:val="1"/>
    </w:pPr>
  </w:style>
  <w:style w:type="paragraph" w:customStyle="1" w:styleId="SheadingM3">
    <w:name w:val="S_headingM3"/>
    <w:basedOn w:val="Stext3"/>
    <w:next w:val="Stext3"/>
    <w:uiPriority w:val="5"/>
    <w:semiHidden/>
    <w:unhideWhenUsed/>
    <w:qFormat/>
    <w:pPr>
      <w:keepNext/>
      <w:numPr>
        <w:ilvl w:val="3"/>
        <w:numId w:val="4"/>
      </w:numPr>
      <w:outlineLvl w:val="2"/>
    </w:pPr>
  </w:style>
  <w:style w:type="paragraph" w:customStyle="1" w:styleId="SheadingM4">
    <w:name w:val="S_headingM4"/>
    <w:basedOn w:val="Stext4"/>
    <w:next w:val="Stext4"/>
    <w:uiPriority w:val="5"/>
    <w:semiHidden/>
    <w:unhideWhenUsed/>
    <w:qFormat/>
    <w:pPr>
      <w:keepNext/>
      <w:numPr>
        <w:ilvl w:val="4"/>
        <w:numId w:val="4"/>
      </w:numPr>
      <w:outlineLvl w:val="3"/>
    </w:pPr>
  </w:style>
  <w:style w:type="paragraph" w:customStyle="1" w:styleId="SheadingM5">
    <w:name w:val="S_headingM5"/>
    <w:basedOn w:val="Stext5"/>
    <w:next w:val="Stext5"/>
    <w:uiPriority w:val="5"/>
    <w:semiHidden/>
    <w:unhideWhenUsed/>
    <w:qFormat/>
    <w:pPr>
      <w:keepNext/>
      <w:numPr>
        <w:ilvl w:val="5"/>
        <w:numId w:val="4"/>
      </w:numPr>
      <w:outlineLvl w:val="4"/>
    </w:pPr>
  </w:style>
  <w:style w:type="paragraph" w:customStyle="1" w:styleId="SheadingIR">
    <w:name w:val="S_heading I. R"/>
    <w:basedOn w:val="Stext"/>
    <w:next w:val="SheadingR1"/>
    <w:uiPriority w:val="6"/>
    <w:semiHidden/>
    <w:unhideWhenUsed/>
    <w:qFormat/>
    <w:pPr>
      <w:keepNext/>
      <w:keepLines/>
      <w:numPr>
        <w:numId w:val="5"/>
      </w:numPr>
      <w:outlineLvl w:val="0"/>
    </w:pPr>
    <w:rPr>
      <w:b/>
    </w:rPr>
  </w:style>
  <w:style w:type="paragraph" w:customStyle="1" w:styleId="SheadingR1">
    <w:name w:val="S_headingR1"/>
    <w:basedOn w:val="Stext1"/>
    <w:next w:val="Stext1"/>
    <w:uiPriority w:val="7"/>
    <w:semiHidden/>
    <w:unhideWhenUsed/>
    <w:qFormat/>
    <w:pPr>
      <w:keepNext/>
      <w:numPr>
        <w:ilvl w:val="1"/>
        <w:numId w:val="5"/>
      </w:numPr>
      <w:outlineLvl w:val="0"/>
    </w:pPr>
    <w:rPr>
      <w:b/>
    </w:rPr>
  </w:style>
  <w:style w:type="paragraph" w:customStyle="1" w:styleId="SheadingR2">
    <w:name w:val="S_headingR2"/>
    <w:basedOn w:val="Stext2"/>
    <w:next w:val="Stext2"/>
    <w:uiPriority w:val="7"/>
    <w:semiHidden/>
    <w:unhideWhenUsed/>
    <w:qFormat/>
    <w:pPr>
      <w:keepNext/>
      <w:numPr>
        <w:ilvl w:val="2"/>
        <w:numId w:val="5"/>
      </w:numPr>
      <w:outlineLvl w:val="1"/>
    </w:pPr>
  </w:style>
  <w:style w:type="paragraph" w:customStyle="1" w:styleId="SheadingR3">
    <w:name w:val="S_headingR3"/>
    <w:basedOn w:val="Stext3"/>
    <w:next w:val="Stext3"/>
    <w:uiPriority w:val="7"/>
    <w:semiHidden/>
    <w:unhideWhenUsed/>
    <w:qFormat/>
    <w:pPr>
      <w:keepNext/>
      <w:numPr>
        <w:ilvl w:val="3"/>
        <w:numId w:val="5"/>
      </w:numPr>
      <w:outlineLvl w:val="2"/>
    </w:pPr>
  </w:style>
  <w:style w:type="paragraph" w:customStyle="1" w:styleId="SheadingR4">
    <w:name w:val="S_headingR4"/>
    <w:basedOn w:val="Stext4"/>
    <w:next w:val="Stext4"/>
    <w:uiPriority w:val="7"/>
    <w:semiHidden/>
    <w:unhideWhenUsed/>
    <w:qFormat/>
    <w:pPr>
      <w:keepNext/>
      <w:numPr>
        <w:ilvl w:val="4"/>
        <w:numId w:val="5"/>
      </w:numPr>
      <w:outlineLvl w:val="3"/>
    </w:pPr>
  </w:style>
  <w:style w:type="paragraph" w:customStyle="1" w:styleId="SheadingR5">
    <w:name w:val="S_headingR5"/>
    <w:basedOn w:val="Stext5"/>
    <w:next w:val="Stext5"/>
    <w:uiPriority w:val="7"/>
    <w:semiHidden/>
    <w:unhideWhenUsed/>
    <w:qFormat/>
    <w:pPr>
      <w:keepNext/>
      <w:numPr>
        <w:ilvl w:val="5"/>
        <w:numId w:val="5"/>
      </w:numPr>
      <w:outlineLvl w:val="4"/>
    </w:pPr>
  </w:style>
  <w:style w:type="paragraph" w:customStyle="1" w:styleId="Stext">
    <w:name w:val="S_text"/>
    <w:link w:val="StextZchn"/>
    <w:uiPriority w:val="11"/>
    <w:qFormat/>
    <w:pPr>
      <w:spacing w:before="240" w:after="60"/>
      <w:jc w:val="both"/>
    </w:pPr>
  </w:style>
  <w:style w:type="paragraph" w:customStyle="1" w:styleId="Stext1">
    <w:name w:val="S_text 1"/>
    <w:basedOn w:val="Stext"/>
    <w:uiPriority w:val="20"/>
    <w:qFormat/>
    <w:pPr>
      <w:ind w:left="680"/>
    </w:pPr>
  </w:style>
  <w:style w:type="paragraph" w:customStyle="1" w:styleId="Stext2">
    <w:name w:val="S_text 2"/>
    <w:basedOn w:val="Stext1"/>
    <w:uiPriority w:val="20"/>
    <w:qFormat/>
  </w:style>
  <w:style w:type="paragraph" w:customStyle="1" w:styleId="Stext3">
    <w:name w:val="S_text 3"/>
    <w:basedOn w:val="Stext2"/>
    <w:uiPriority w:val="20"/>
    <w:qFormat/>
    <w:pPr>
      <w:ind w:left="1531"/>
    </w:pPr>
  </w:style>
  <w:style w:type="paragraph" w:customStyle="1" w:styleId="Stext4">
    <w:name w:val="S_text 4"/>
    <w:basedOn w:val="Stext3"/>
    <w:uiPriority w:val="20"/>
    <w:qFormat/>
    <w:pPr>
      <w:ind w:left="2778"/>
    </w:pPr>
  </w:style>
  <w:style w:type="paragraph" w:customStyle="1" w:styleId="Stext5">
    <w:name w:val="S_text 5"/>
    <w:basedOn w:val="Stext4"/>
    <w:uiPriority w:val="20"/>
    <w:qFormat/>
  </w:style>
  <w:style w:type="paragraph" w:customStyle="1" w:styleId="Stextarb">
    <w:name w:val="S_text_arb"/>
    <w:basedOn w:val="Stext"/>
    <w:uiPriority w:val="19"/>
    <w:semiHidden/>
    <w:unhideWhenUsed/>
    <w:qFormat/>
  </w:style>
  <w:style w:type="paragraph" w:customStyle="1" w:styleId="Stext1arb">
    <w:name w:val="S_text 1_arb"/>
    <w:basedOn w:val="Stextarb"/>
    <w:uiPriority w:val="20"/>
    <w:semiHidden/>
    <w:unhideWhenUsed/>
    <w:qFormat/>
    <w:pPr>
      <w:ind w:left="851"/>
    </w:pPr>
  </w:style>
  <w:style w:type="paragraph" w:customStyle="1" w:styleId="Stext2arb">
    <w:name w:val="S_text 2_arb"/>
    <w:basedOn w:val="Stext1arb"/>
    <w:uiPriority w:val="20"/>
    <w:semiHidden/>
    <w:unhideWhenUsed/>
    <w:qFormat/>
  </w:style>
  <w:style w:type="paragraph" w:customStyle="1" w:styleId="Stext3arb">
    <w:name w:val="S_text 3_arb"/>
    <w:basedOn w:val="Stext2arb"/>
    <w:uiPriority w:val="20"/>
    <w:semiHidden/>
    <w:unhideWhenUsed/>
    <w:qFormat/>
    <w:pPr>
      <w:ind w:left="1560"/>
    </w:pPr>
  </w:style>
  <w:style w:type="paragraph" w:customStyle="1" w:styleId="Stext4arb">
    <w:name w:val="S_text 4_arb"/>
    <w:basedOn w:val="Stext3arb"/>
    <w:uiPriority w:val="20"/>
    <w:semiHidden/>
    <w:unhideWhenUsed/>
    <w:qFormat/>
    <w:pPr>
      <w:ind w:left="2269"/>
    </w:pPr>
  </w:style>
  <w:style w:type="paragraph" w:customStyle="1" w:styleId="Stext5arb">
    <w:name w:val="S_text 5_arb"/>
    <w:basedOn w:val="Stext4arb"/>
    <w:uiPriority w:val="20"/>
    <w:semiHidden/>
    <w:unhideWhenUsed/>
    <w:qFormat/>
    <w:pPr>
      <w:ind w:left="2978"/>
    </w:pPr>
  </w:style>
  <w:style w:type="paragraph" w:customStyle="1" w:styleId="Stextquotationarb">
    <w:name w:val="S_text quotation_arb"/>
    <w:basedOn w:val="Stext4arb"/>
    <w:uiPriority w:val="20"/>
    <w:semiHidden/>
    <w:unhideWhenUsed/>
    <w:qFormat/>
    <w:pPr>
      <w:spacing w:line="240" w:lineRule="auto"/>
      <w:ind w:right="1134"/>
    </w:pPr>
  </w:style>
  <w:style w:type="paragraph" w:customStyle="1" w:styleId="Stextmultilingual">
    <w:name w:val="S_text multilingual"/>
    <w:basedOn w:val="Stext"/>
    <w:uiPriority w:val="20"/>
    <w:semiHidden/>
    <w:unhideWhenUsed/>
    <w:qFormat/>
    <w:pPr>
      <w:ind w:left="964"/>
    </w:pPr>
  </w:style>
  <w:style w:type="paragraph" w:customStyle="1" w:styleId="Smarginalnumber">
    <w:name w:val="S_marginal number"/>
    <w:basedOn w:val="Stext1"/>
    <w:uiPriority w:val="25"/>
    <w:qFormat/>
    <w:pPr>
      <w:numPr>
        <w:numId w:val="7"/>
      </w:numPr>
      <w:ind w:hanging="680"/>
    </w:pPr>
  </w:style>
  <w:style w:type="paragraph" w:customStyle="1" w:styleId="Smarginalnumberarb">
    <w:name w:val="S_marginal number_arb"/>
    <w:basedOn w:val="Stext1arb"/>
    <w:uiPriority w:val="25"/>
    <w:semiHidden/>
    <w:unhideWhenUsed/>
    <w:qFormat/>
    <w:pPr>
      <w:numPr>
        <w:numId w:val="8"/>
      </w:numPr>
      <w:ind w:hanging="851"/>
    </w:pPr>
  </w:style>
  <w:style w:type="paragraph" w:customStyle="1" w:styleId="SNumberedParagraph1">
    <w:name w:val="S_Numbered Paragraph 1"/>
    <w:basedOn w:val="Sheading1"/>
    <w:uiPriority w:val="10"/>
    <w:qFormat/>
    <w:pPr>
      <w:keepNext w:val="0"/>
      <w:keepLines w:val="0"/>
    </w:pPr>
    <w:rPr>
      <w:b w:val="0"/>
    </w:rPr>
  </w:style>
  <w:style w:type="paragraph" w:customStyle="1" w:styleId="SNumberedParagraph2">
    <w:name w:val="S_Numbered Paragraph 2"/>
    <w:basedOn w:val="Sheading2"/>
    <w:uiPriority w:val="10"/>
    <w:qFormat/>
    <w:pPr>
      <w:keepNext w:val="0"/>
      <w:keepLines w:val="0"/>
    </w:pPr>
  </w:style>
  <w:style w:type="paragraph" w:customStyle="1" w:styleId="SNumberedParagraph3">
    <w:name w:val="S_Numbered Paragraph 3"/>
    <w:basedOn w:val="Sheading3"/>
    <w:uiPriority w:val="10"/>
    <w:qFormat/>
    <w:pPr>
      <w:keepNext w:val="0"/>
      <w:keepLines w:val="0"/>
    </w:pPr>
  </w:style>
  <w:style w:type="paragraph" w:customStyle="1" w:styleId="SNumberedParagraph4">
    <w:name w:val="S_Numbered Paragraph 4"/>
    <w:basedOn w:val="Sheading4"/>
    <w:uiPriority w:val="10"/>
    <w:qFormat/>
    <w:pPr>
      <w:keepNext w:val="0"/>
      <w:keepLines w:val="0"/>
    </w:pPr>
  </w:style>
  <w:style w:type="paragraph" w:customStyle="1" w:styleId="SNumberedParagraph5">
    <w:name w:val="S_Numbered Paragraph 5"/>
    <w:basedOn w:val="Sheading5"/>
    <w:uiPriority w:val="10"/>
    <w:qFormat/>
    <w:pPr>
      <w:keepNext w:val="0"/>
      <w:keepLines w:val="0"/>
    </w:pPr>
  </w:style>
  <w:style w:type="paragraph" w:customStyle="1" w:styleId="SNumberedParagraphL1">
    <w:name w:val="S_Numbered ParagraphL1"/>
    <w:basedOn w:val="SheadingL1"/>
    <w:uiPriority w:val="11"/>
    <w:semiHidden/>
    <w:unhideWhenUsed/>
    <w:qFormat/>
    <w:pPr>
      <w:keepNext w:val="0"/>
    </w:pPr>
    <w:rPr>
      <w:b w:val="0"/>
    </w:rPr>
  </w:style>
  <w:style w:type="paragraph" w:customStyle="1" w:styleId="SNumberedParagraphL2">
    <w:name w:val="S_Numbered ParagraphL2"/>
    <w:basedOn w:val="SheadingL2"/>
    <w:uiPriority w:val="11"/>
    <w:semiHidden/>
    <w:unhideWhenUsed/>
    <w:qFormat/>
    <w:pPr>
      <w:keepNext w:val="0"/>
    </w:pPr>
  </w:style>
  <w:style w:type="paragraph" w:customStyle="1" w:styleId="SNumberedParagraphL3">
    <w:name w:val="S_Numbered ParagraphL3"/>
    <w:basedOn w:val="SheadingL3"/>
    <w:uiPriority w:val="11"/>
    <w:semiHidden/>
    <w:unhideWhenUsed/>
    <w:qFormat/>
    <w:pPr>
      <w:keepNext w:val="0"/>
    </w:pPr>
  </w:style>
  <w:style w:type="paragraph" w:customStyle="1" w:styleId="SNumberedParagraphL4">
    <w:name w:val="S_Numbered ParagraphL4"/>
    <w:basedOn w:val="SheadingL4"/>
    <w:uiPriority w:val="11"/>
    <w:semiHidden/>
    <w:unhideWhenUsed/>
    <w:qFormat/>
    <w:pPr>
      <w:keepNext w:val="0"/>
    </w:pPr>
  </w:style>
  <w:style w:type="paragraph" w:customStyle="1" w:styleId="SNumberedParagraphL5">
    <w:name w:val="S_Numbered ParagraphL5"/>
    <w:basedOn w:val="SheadingL5"/>
    <w:uiPriority w:val="11"/>
    <w:semiHidden/>
    <w:unhideWhenUsed/>
    <w:qFormat/>
    <w:pPr>
      <w:keepNext w:val="0"/>
    </w:pPr>
  </w:style>
  <w:style w:type="paragraph" w:customStyle="1" w:styleId="SNumberedParagraphM1">
    <w:name w:val="S_Numbered ParagraphM1"/>
    <w:basedOn w:val="SheadingM1"/>
    <w:uiPriority w:val="12"/>
    <w:semiHidden/>
    <w:unhideWhenUsed/>
    <w:qFormat/>
    <w:pPr>
      <w:keepNext w:val="0"/>
    </w:pPr>
    <w:rPr>
      <w:b w:val="0"/>
    </w:rPr>
  </w:style>
  <w:style w:type="paragraph" w:customStyle="1" w:styleId="SNumberedParagraphM2">
    <w:name w:val="S_Numbered ParagraphM2"/>
    <w:basedOn w:val="SheadingM2"/>
    <w:uiPriority w:val="12"/>
    <w:semiHidden/>
    <w:unhideWhenUsed/>
    <w:qFormat/>
    <w:pPr>
      <w:keepNext w:val="0"/>
    </w:pPr>
  </w:style>
  <w:style w:type="paragraph" w:customStyle="1" w:styleId="SNumberedParagraphM3">
    <w:name w:val="S_Numbered ParagraphM3"/>
    <w:basedOn w:val="SheadingM3"/>
    <w:uiPriority w:val="12"/>
    <w:semiHidden/>
    <w:unhideWhenUsed/>
    <w:qFormat/>
    <w:pPr>
      <w:keepNext w:val="0"/>
    </w:pPr>
  </w:style>
  <w:style w:type="paragraph" w:customStyle="1" w:styleId="SNumberedParagraphM4">
    <w:name w:val="S_Numbered ParagraphM4"/>
    <w:basedOn w:val="SheadingM4"/>
    <w:uiPriority w:val="12"/>
    <w:semiHidden/>
    <w:unhideWhenUsed/>
    <w:qFormat/>
    <w:pPr>
      <w:keepNext w:val="0"/>
    </w:pPr>
  </w:style>
  <w:style w:type="paragraph" w:customStyle="1" w:styleId="SNumberedParagraphM5">
    <w:name w:val="S_Numbered ParagraphM5"/>
    <w:basedOn w:val="SheadingM5"/>
    <w:uiPriority w:val="12"/>
    <w:semiHidden/>
    <w:unhideWhenUsed/>
    <w:qFormat/>
    <w:pPr>
      <w:keepNext w:val="0"/>
    </w:pPr>
  </w:style>
  <w:style w:type="paragraph" w:customStyle="1" w:styleId="SNumberedParagraphR1">
    <w:name w:val="S_Numbered ParagraphR1"/>
    <w:basedOn w:val="SheadingR1"/>
    <w:uiPriority w:val="13"/>
    <w:semiHidden/>
    <w:unhideWhenUsed/>
    <w:qFormat/>
    <w:pPr>
      <w:keepNext w:val="0"/>
    </w:pPr>
    <w:rPr>
      <w:b w:val="0"/>
    </w:rPr>
  </w:style>
  <w:style w:type="paragraph" w:customStyle="1" w:styleId="SNumberedParagraphR2">
    <w:name w:val="S_Numbered ParagraphR2"/>
    <w:basedOn w:val="SheadingR2"/>
    <w:uiPriority w:val="13"/>
    <w:semiHidden/>
    <w:unhideWhenUsed/>
    <w:qFormat/>
    <w:pPr>
      <w:keepNext w:val="0"/>
    </w:pPr>
  </w:style>
  <w:style w:type="paragraph" w:customStyle="1" w:styleId="SNumberedParagraphR3">
    <w:name w:val="S_Numbered ParagraphR3"/>
    <w:basedOn w:val="SheadingR3"/>
    <w:uiPriority w:val="13"/>
    <w:semiHidden/>
    <w:unhideWhenUsed/>
    <w:qFormat/>
    <w:pPr>
      <w:keepNext w:val="0"/>
    </w:pPr>
  </w:style>
  <w:style w:type="paragraph" w:customStyle="1" w:styleId="SNumberedParagraphR4">
    <w:name w:val="S_Numbered ParagraphR4"/>
    <w:basedOn w:val="SheadingR4"/>
    <w:uiPriority w:val="13"/>
    <w:semiHidden/>
    <w:unhideWhenUsed/>
    <w:qFormat/>
    <w:pPr>
      <w:keepNext w:val="0"/>
    </w:pPr>
  </w:style>
  <w:style w:type="paragraph" w:customStyle="1" w:styleId="SNumberedParagraphR5">
    <w:name w:val="S_Numbered ParagraphR5"/>
    <w:basedOn w:val="SheadingR5"/>
    <w:uiPriority w:val="13"/>
    <w:semiHidden/>
    <w:unhideWhenUsed/>
    <w:qFormat/>
    <w:pPr>
      <w:keepNext w:val="0"/>
    </w:pPr>
  </w:style>
  <w:style w:type="paragraph" w:customStyle="1" w:styleId="SSchedule1">
    <w:name w:val="S_Schedule 1"/>
    <w:basedOn w:val="Stext"/>
    <w:next w:val="Stext1"/>
    <w:uiPriority w:val="30"/>
    <w:pPr>
      <w:keepNext/>
      <w:keepLines/>
      <w:numPr>
        <w:ilvl w:val="1"/>
        <w:numId w:val="2"/>
      </w:numPr>
      <w:spacing w:before="360" w:after="120"/>
      <w:outlineLvl w:val="0"/>
    </w:pPr>
    <w:rPr>
      <w:b/>
    </w:rPr>
  </w:style>
  <w:style w:type="paragraph" w:customStyle="1" w:styleId="SSchedule2">
    <w:name w:val="S_Schedule 2"/>
    <w:basedOn w:val="Stext1"/>
    <w:next w:val="Stext2"/>
    <w:uiPriority w:val="30"/>
    <w:pPr>
      <w:numPr>
        <w:ilvl w:val="2"/>
        <w:numId w:val="2"/>
      </w:numPr>
      <w:outlineLvl w:val="1"/>
    </w:pPr>
  </w:style>
  <w:style w:type="paragraph" w:customStyle="1" w:styleId="SSchedule3">
    <w:name w:val="S_Schedule 3"/>
    <w:basedOn w:val="Stext2"/>
    <w:next w:val="Stext3"/>
    <w:uiPriority w:val="30"/>
    <w:pPr>
      <w:numPr>
        <w:ilvl w:val="3"/>
        <w:numId w:val="2"/>
      </w:numPr>
      <w:outlineLvl w:val="2"/>
    </w:pPr>
  </w:style>
  <w:style w:type="paragraph" w:customStyle="1" w:styleId="SSchedule4">
    <w:name w:val="S_Schedule 4"/>
    <w:basedOn w:val="Stext3"/>
    <w:next w:val="Stext4"/>
    <w:uiPriority w:val="30"/>
    <w:pPr>
      <w:numPr>
        <w:ilvl w:val="4"/>
        <w:numId w:val="2"/>
      </w:numPr>
      <w:outlineLvl w:val="3"/>
    </w:pPr>
  </w:style>
  <w:style w:type="paragraph" w:customStyle="1" w:styleId="SSchedule5">
    <w:name w:val="S_Schedule 5"/>
    <w:basedOn w:val="Stext4"/>
    <w:next w:val="Stext5"/>
    <w:uiPriority w:val="30"/>
    <w:pPr>
      <w:numPr>
        <w:ilvl w:val="5"/>
        <w:numId w:val="2"/>
      </w:numPr>
      <w:outlineLvl w:val="4"/>
    </w:pPr>
  </w:style>
  <w:style w:type="paragraph" w:customStyle="1" w:styleId="Spreamble">
    <w:name w:val="S_preamble"/>
    <w:basedOn w:val="Stext"/>
    <w:uiPriority w:val="99"/>
    <w:semiHidden/>
    <w:pPr>
      <w:spacing w:before="120" w:line="240" w:lineRule="atLeast"/>
      <w:jc w:val="center"/>
    </w:pPr>
  </w:style>
  <w:style w:type="paragraph" w:customStyle="1" w:styleId="Stextnarrow">
    <w:name w:val="S_text_narrow"/>
    <w:basedOn w:val="Stext"/>
    <w:uiPriority w:val="27"/>
    <w:qFormat/>
    <w:pPr>
      <w:contextualSpacing/>
    </w:pPr>
  </w:style>
  <w:style w:type="paragraph" w:customStyle="1" w:styleId="Stext1narrow">
    <w:name w:val="S_text_1_narrow"/>
    <w:basedOn w:val="Stext1"/>
    <w:uiPriority w:val="28"/>
    <w:qFormat/>
    <w:pPr>
      <w:contextualSpacing/>
    </w:pPr>
  </w:style>
  <w:style w:type="paragraph" w:customStyle="1" w:styleId="Stext2narrow">
    <w:name w:val="S_text_2_narrow"/>
    <w:basedOn w:val="Stext2"/>
    <w:uiPriority w:val="28"/>
    <w:qFormat/>
    <w:pPr>
      <w:contextualSpacing/>
    </w:pPr>
  </w:style>
  <w:style w:type="paragraph" w:customStyle="1" w:styleId="Stext3narrow">
    <w:name w:val="S_text_3_narrow"/>
    <w:basedOn w:val="Stext3"/>
    <w:uiPriority w:val="28"/>
    <w:qFormat/>
    <w:pPr>
      <w:contextualSpacing/>
    </w:pPr>
  </w:style>
  <w:style w:type="paragraph" w:customStyle="1" w:styleId="Stext4narrow">
    <w:name w:val="S_text_4_narrow"/>
    <w:basedOn w:val="Stext4"/>
    <w:uiPriority w:val="28"/>
    <w:qFormat/>
    <w:pPr>
      <w:contextualSpacing/>
    </w:pPr>
  </w:style>
  <w:style w:type="paragraph" w:customStyle="1" w:styleId="Stext5narrow">
    <w:name w:val="S_text_5_narrow"/>
    <w:basedOn w:val="Stext5"/>
    <w:uiPriority w:val="28"/>
    <w:qFormat/>
    <w:pPr>
      <w:contextualSpacing/>
    </w:pPr>
  </w:style>
  <w:style w:type="paragraph" w:customStyle="1" w:styleId="Stitleofdocument">
    <w:name w:val="S_title of document"/>
    <w:basedOn w:val="Stext"/>
    <w:uiPriority w:val="39"/>
    <w:pPr>
      <w:spacing w:before="1800" w:after="400"/>
      <w:jc w:val="center"/>
    </w:pPr>
    <w:rPr>
      <w:b/>
      <w:caps/>
      <w:spacing w:val="80"/>
      <w:szCs w:val="18"/>
    </w:rPr>
  </w:style>
  <w:style w:type="paragraph" w:customStyle="1" w:styleId="Sunnumberedheadline">
    <w:name w:val="S_unnumbered headline"/>
    <w:basedOn w:val="Stext"/>
    <w:next w:val="Stext"/>
    <w:uiPriority w:val="39"/>
    <w:pPr>
      <w:spacing w:before="360" w:after="240"/>
      <w:jc w:val="center"/>
    </w:pPr>
    <w:rPr>
      <w:b/>
    </w:rPr>
  </w:style>
  <w:style w:type="paragraph" w:customStyle="1" w:styleId="SunnumberedheadlineSchedule1">
    <w:name w:val="S_unnumbered headline Schedule 1"/>
    <w:basedOn w:val="Sunnumberedheadline"/>
    <w:uiPriority w:val="39"/>
    <w:qFormat/>
    <w:pPr>
      <w:outlineLvl w:val="0"/>
    </w:pPr>
  </w:style>
  <w:style w:type="paragraph" w:customStyle="1" w:styleId="SunnumberedheadlineSchedule2">
    <w:name w:val="S_unnumbered headline Schedule 2"/>
    <w:basedOn w:val="SunnumberedheadlineSchedule1"/>
    <w:uiPriority w:val="39"/>
    <w:qFormat/>
    <w:pPr>
      <w:outlineLvl w:val="1"/>
    </w:pPr>
  </w:style>
  <w:style w:type="paragraph" w:customStyle="1" w:styleId="SSeller">
    <w:name w:val="S_Seller"/>
    <w:basedOn w:val="Stext"/>
    <w:uiPriority w:val="39"/>
    <w:pPr>
      <w:spacing w:before="0" w:after="0"/>
      <w:jc w:val="center"/>
    </w:pPr>
  </w:style>
  <w:style w:type="paragraph" w:customStyle="1" w:styleId="Ssmallgap">
    <w:name w:val="S_small gap"/>
    <w:basedOn w:val="Stext"/>
    <w:uiPriority w:val="39"/>
    <w:qFormat/>
    <w:pPr>
      <w:spacing w:before="0" w:after="0" w:line="240" w:lineRule="auto"/>
    </w:pPr>
  </w:style>
  <w:style w:type="paragraph" w:customStyle="1" w:styleId="Saddressee">
    <w:name w:val="S_addressee"/>
    <w:basedOn w:val="Stext"/>
    <w:uiPriority w:val="39"/>
    <w:pPr>
      <w:spacing w:before="0" w:after="0"/>
    </w:pPr>
  </w:style>
  <w:style w:type="paragraph" w:customStyle="1" w:styleId="Sbyandbetween">
    <w:name w:val="S_by and between"/>
    <w:basedOn w:val="Stext"/>
    <w:uiPriority w:val="39"/>
    <w:pPr>
      <w:spacing w:before="400" w:after="400"/>
      <w:jc w:val="center"/>
    </w:pPr>
    <w:rPr>
      <w:sz w:val="18"/>
      <w:szCs w:val="18"/>
    </w:rPr>
  </w:style>
  <w:style w:type="paragraph" w:customStyle="1" w:styleId="Sdatefile">
    <w:name w:val="S_date_file"/>
    <w:basedOn w:val="Stext"/>
    <w:uiPriority w:val="44"/>
    <w:pPr>
      <w:spacing w:before="0" w:after="0" w:line="240" w:lineRule="auto"/>
      <w:jc w:val="right"/>
    </w:pPr>
    <w:rPr>
      <w:sz w:val="16"/>
      <w:szCs w:val="16"/>
    </w:rPr>
  </w:style>
  <w:style w:type="paragraph" w:customStyle="1" w:styleId="Stableofcontents">
    <w:name w:val="S_table of contents"/>
    <w:basedOn w:val="Stext"/>
    <w:next w:val="Stext"/>
    <w:uiPriority w:val="99"/>
    <w:semiHidden/>
    <w:pPr>
      <w:pageBreakBefore/>
      <w:spacing w:before="120" w:after="360"/>
      <w:jc w:val="center"/>
    </w:pPr>
    <w:rPr>
      <w:b/>
      <w:caps/>
      <w:spacing w:val="70"/>
    </w:rPr>
  </w:style>
  <w:style w:type="paragraph" w:customStyle="1" w:styleId="Stexttable">
    <w:name w:val="S_text table"/>
    <w:basedOn w:val="Stext"/>
    <w:uiPriority w:val="49"/>
    <w:qFormat/>
    <w:pPr>
      <w:spacing w:before="80"/>
    </w:pPr>
  </w:style>
  <w:style w:type="paragraph" w:customStyle="1" w:styleId="Stexttablesmall">
    <w:name w:val="S_text table_small"/>
    <w:basedOn w:val="Stexttable"/>
    <w:uiPriority w:val="49"/>
    <w:qFormat/>
    <w:pPr>
      <w:spacing w:before="60"/>
    </w:pPr>
    <w:rPr>
      <w:sz w:val="16"/>
      <w:szCs w:val="16"/>
    </w:rPr>
  </w:style>
  <w:style w:type="paragraph" w:customStyle="1" w:styleId="SKopfzeile6pt">
    <w:name w:val="S_Kopfzeile 6pt"/>
    <w:basedOn w:val="Stext"/>
    <w:uiPriority w:val="1"/>
    <w:semiHidden/>
    <w:pPr>
      <w:spacing w:before="0" w:after="0" w:line="240" w:lineRule="auto"/>
      <w:ind w:left="510"/>
    </w:pPr>
    <w:rPr>
      <w:color w:val="000000"/>
      <w:sz w:val="12"/>
      <w:szCs w:val="12"/>
    </w:rPr>
  </w:style>
  <w:style w:type="paragraph" w:customStyle="1" w:styleId="SKopfzeile5">
    <w:name w:val="S_Kopfzeile 5"/>
    <w:aliases w:val="5 pt"/>
    <w:basedOn w:val="SKopfzeile6pt"/>
    <w:semiHidden/>
    <w:rPr>
      <w:sz w:val="11"/>
      <w:szCs w:val="11"/>
    </w:rPr>
  </w:style>
  <w:style w:type="paragraph" w:customStyle="1" w:styleId="SKopfzeile5pt">
    <w:name w:val="S_Kopfzeile 5 pt"/>
    <w:basedOn w:val="Stext"/>
    <w:uiPriority w:val="1"/>
    <w:semiHidden/>
    <w:pPr>
      <w:ind w:left="510"/>
    </w:pPr>
    <w:rPr>
      <w:rFonts w:ascii="HelveticaNeueLT Pro 43 LtEx" w:hAnsi="HelveticaNeueLT Pro 43 LtEx"/>
      <w:color w:val="000000"/>
      <w:sz w:val="10"/>
      <w:szCs w:val="10"/>
    </w:rPr>
  </w:style>
  <w:style w:type="paragraph" w:customStyle="1" w:styleId="Snumberofpages">
    <w:name w:val="S_number of pages"/>
    <w:basedOn w:val="Stext"/>
    <w:uiPriority w:val="1"/>
    <w:semiHidden/>
    <w:pPr>
      <w:jc w:val="center"/>
    </w:pPr>
    <w:rPr>
      <w:snapToGrid w:val="0"/>
      <w:sz w:val="14"/>
    </w:rPr>
  </w:style>
  <w:style w:type="paragraph" w:styleId="FootnoteText">
    <w:name w:val="footnote text"/>
    <w:aliases w:val="S_footer,Podrozdział,stile 1,Footnote1,Footnote2,Footnote3,Footnote4,Footnote5,Footnote6,Footnote7,Footnote8,Footnote9,Footnote10,Footnote11,Footnote21,Footnote31,Footnote41,Footnote51,Footnote61,Footnote71,Footnote81,Footnote91,single spa"/>
    <w:basedOn w:val="Stext"/>
    <w:link w:val="FootnoteTextChar"/>
    <w:uiPriority w:val="99"/>
    <w:qFormat/>
    <w:pPr>
      <w:tabs>
        <w:tab w:val="left" w:pos="340"/>
      </w:tabs>
      <w:spacing w:before="0" w:after="0" w:line="0" w:lineRule="atLeast"/>
      <w:ind w:left="340" w:hanging="340"/>
    </w:pPr>
    <w:rPr>
      <w:sz w:val="16"/>
    </w:rPr>
  </w:style>
  <w:style w:type="paragraph" w:customStyle="1" w:styleId="Sheader">
    <w:name w:val="S_header"/>
    <w:basedOn w:val="Stext"/>
    <w:semiHidden/>
    <w:pPr>
      <w:spacing w:before="0" w:after="0" w:line="0" w:lineRule="atLeast"/>
    </w:pPr>
    <w:rPr>
      <w:sz w:val="16"/>
    </w:rPr>
  </w:style>
  <w:style w:type="paragraph" w:styleId="Header">
    <w:name w:val="header"/>
    <w:link w:val="HeaderChar"/>
    <w:uiPriority w:val="99"/>
  </w:style>
  <w:style w:type="table" w:customStyle="1" w:styleId="Stableplain">
    <w:name w:val="S_table plain"/>
    <w:uiPriority w:val="99"/>
    <w:pPr>
      <w:ind w:left="136" w:right="136"/>
    </w:pPr>
    <w:tblP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0" w:type="dxa"/>
        <w:left w:w="68" w:type="dxa"/>
        <w:bottom w:w="0" w:type="dxa"/>
        <w:right w:w="68" w:type="dxa"/>
      </w:tblCellMar>
    </w:tblPr>
  </w:style>
  <w:style w:type="table" w:customStyle="1" w:styleId="StableplainnoBorder">
    <w:name w:val="S_table plain_noBorder"/>
    <w:basedOn w:val="Stableplain"/>
    <w:uiPriority w:val="99"/>
    <w:pPr>
      <w:ind w:left="0" w:right="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Stableplaincolumnasheader">
    <w:name w:val="S_table plain column as header"/>
    <w:basedOn w:val="Stableplain"/>
    <w:uiPriority w:val="99"/>
    <w:qFormat/>
    <w:tblPr/>
    <w:tblStylePr w:type="firstCol">
      <w:rPr>
        <w:rFonts w:ascii="Verdana" w:hAnsi="Verdana"/>
        <w:b/>
        <w:sz w:val="20"/>
      </w:rPr>
      <w:tblPr/>
      <w:tcPr>
        <w:shd w:val="clear" w:color="auto" w:fill="BFBFBF"/>
      </w:tcPr>
    </w:tblStylePr>
  </w:style>
  <w:style w:type="table" w:customStyle="1" w:styleId="Stableplainrowasheader">
    <w:name w:val="S_table plain row as header"/>
    <w:basedOn w:val="Stableplain"/>
    <w:uiPriority w:val="99"/>
    <w:qFormat/>
    <w:pPr>
      <w:ind w:left="0" w:right="0"/>
    </w:pPr>
    <w:tblPr/>
    <w:tblStylePr w:type="firstRow">
      <w:rPr>
        <w:rFonts w:ascii="Verdana" w:hAnsi="Verdana"/>
        <w:b/>
        <w:sz w:val="20"/>
      </w:rPr>
      <w:tblPr/>
      <w:tcPr>
        <w:shd w:val="clear" w:color="auto" w:fill="BFBFBF"/>
      </w:tcPr>
    </w:tblStylePr>
  </w:style>
  <w:style w:type="table" w:customStyle="1" w:styleId="Stableplainrowandcolumnasheader">
    <w:name w:val="S_table plain row and column as header"/>
    <w:basedOn w:val="Stableplainrowasheader"/>
    <w:uiPriority w:val="99"/>
    <w:qFormat/>
    <w:tblPr/>
    <w:tblStylePr w:type="firstRow">
      <w:rPr>
        <w:rFonts w:ascii="Verdana" w:hAnsi="Verdana"/>
        <w:b/>
        <w:sz w:val="20"/>
      </w:rPr>
      <w:tblPr/>
      <w:tcPr>
        <w:shd w:val="clear" w:color="auto" w:fill="BFBFBF"/>
      </w:tcPr>
    </w:tblStylePr>
    <w:tblStylePr w:type="firstCol">
      <w:rPr>
        <w:rFonts w:ascii="Verdana" w:hAnsi="Verdana"/>
        <w:b/>
        <w:sz w:val="20"/>
      </w:rPr>
      <w:tblPr/>
      <w:tcPr>
        <w:shd w:val="clear" w:color="auto" w:fill="BFBFBF"/>
      </w:tcPr>
    </w:tblStylePr>
  </w:style>
  <w:style w:type="table" w:customStyle="1" w:styleId="Stablestructured">
    <w:name w:val="S_table structured"/>
    <w:basedOn w:val="Stableplain"/>
    <w:uiPriority w:val="99"/>
    <w:qFormat/>
    <w:tblPr>
      <w:tblStyleRowBandSize w:val="1"/>
    </w:tblPr>
    <w:tblStylePr w:type="band1Horz">
      <w:rPr>
        <w:rFonts w:ascii="Verdana" w:hAnsi="Verdana"/>
        <w:sz w:val="20"/>
      </w:rPr>
    </w:tblStylePr>
    <w:tblStylePr w:type="band2Horz">
      <w:tblPr/>
      <w:tcPr>
        <w:shd w:val="clear" w:color="auto" w:fill="F2F2F2"/>
      </w:tcPr>
    </w:tblStylePr>
  </w:style>
  <w:style w:type="table" w:customStyle="1" w:styleId="Stablestructuredcolumnasheader">
    <w:name w:val="S_table structured column as header"/>
    <w:basedOn w:val="Stableplain"/>
    <w:uiPriority w:val="99"/>
    <w:qFormat/>
    <w:tblPr>
      <w:tblStyleRowBandSize w:val="1"/>
    </w:tblPr>
    <w:tcPr>
      <w:shd w:val="clear" w:color="auto" w:fill="auto"/>
    </w:tcPr>
    <w:tblStylePr w:type="firstCol">
      <w:tblPr/>
      <w:tcPr>
        <w:shd w:val="clear" w:color="auto" w:fill="BFBFBF"/>
      </w:tcPr>
    </w:tblStylePr>
    <w:tblStylePr w:type="band1Horz">
      <w:rPr>
        <w:rFonts w:ascii="Verdana" w:hAnsi="Verdana"/>
        <w:sz w:val="20"/>
      </w:rPr>
      <w:tblPr/>
      <w:tcPr>
        <w:shd w:val="clear" w:color="auto" w:fill="F2F2F2"/>
      </w:tcPr>
    </w:tblStylePr>
    <w:tblStylePr w:type="nwCell">
      <w:tblPr/>
      <w:tcPr>
        <w:shd w:val="clear" w:color="auto" w:fill="BFBFBF"/>
      </w:tcPr>
    </w:tblStylePr>
  </w:style>
  <w:style w:type="table" w:customStyle="1" w:styleId="Stablestructuredrowasheader">
    <w:name w:val="S_table structured row as header"/>
    <w:basedOn w:val="Stablestructured"/>
    <w:uiPriority w:val="99"/>
    <w:qFormat/>
    <w:tblPr/>
    <w:tblStylePr w:type="firstRow">
      <w:rPr>
        <w:rFonts w:ascii="Verdana" w:hAnsi="Verdana"/>
        <w:b/>
        <w:sz w:val="20"/>
      </w:rPr>
      <w:tblPr/>
      <w:tcPr>
        <w:shd w:val="clear" w:color="auto" w:fill="BFBFBF"/>
      </w:tcPr>
    </w:tblStylePr>
    <w:tblStylePr w:type="band1Horz">
      <w:rPr>
        <w:rFonts w:ascii="Verdana" w:hAnsi="Verdana"/>
        <w:sz w:val="20"/>
      </w:rPr>
    </w:tblStylePr>
    <w:tblStylePr w:type="band2Horz">
      <w:tblPr/>
      <w:tcPr>
        <w:shd w:val="clear" w:color="auto" w:fill="F2F2F2"/>
      </w:tcPr>
    </w:tblStylePr>
  </w:style>
  <w:style w:type="table" w:customStyle="1" w:styleId="Stablestrucuturedrowandcolumnasheader">
    <w:name w:val="S_table strucutured row and column as header"/>
    <w:basedOn w:val="Stablestructured"/>
    <w:uiPriority w:val="99"/>
    <w:qFormat/>
    <w:tblPr/>
    <w:tblStylePr w:type="firstRow">
      <w:rPr>
        <w:rFonts w:ascii="Verdana" w:hAnsi="Verdana"/>
        <w:b/>
        <w:sz w:val="20"/>
      </w:rPr>
      <w:tblPr/>
      <w:tcPr>
        <w:shd w:val="clear" w:color="auto" w:fill="BFBFBF"/>
      </w:tcPr>
    </w:tblStylePr>
    <w:tblStylePr w:type="firstCol">
      <w:rPr>
        <w:rFonts w:ascii="Verdana" w:hAnsi="Verdana"/>
        <w:b/>
        <w:sz w:val="20"/>
      </w:rPr>
      <w:tblPr/>
      <w:tcPr>
        <w:shd w:val="clear" w:color="auto" w:fill="BFBFBF"/>
      </w:tcPr>
    </w:tblStylePr>
    <w:tblStylePr w:type="band1Horz">
      <w:rPr>
        <w:rFonts w:ascii="Verdana" w:hAnsi="Verdana"/>
        <w:sz w:val="20"/>
      </w:rPr>
    </w:tblStylePr>
    <w:tblStylePr w:type="band2Horz">
      <w:tblPr/>
      <w:tcPr>
        <w:shd w:val="clear" w:color="auto" w:fill="F2F2F2"/>
      </w:tcPr>
    </w:tblStylePr>
  </w:style>
  <w:style w:type="character" w:customStyle="1" w:styleId="StextZchn">
    <w:name w:val="S_text Zchn"/>
    <w:basedOn w:val="DefaultParagraphFont"/>
    <w:link w:val="Stext"/>
    <w:uiPriority w:val="11"/>
    <w:rsid w:val="00E56282"/>
  </w:style>
  <w:style w:type="character" w:customStyle="1" w:styleId="Heading1Char">
    <w:name w:val="Heading 1 Char"/>
    <w:basedOn w:val="DefaultParagraphFont"/>
    <w:link w:val="Heading1"/>
    <w:uiPriority w:val="9"/>
    <w:rsid w:val="003F1496"/>
    <w:rPr>
      <w:rFonts w:eastAsia="Times New Roman" w:cs="Times New Roman"/>
      <w:caps/>
      <w:color w:val="FFFFFF"/>
      <w:spacing w:val="15"/>
      <w:sz w:val="22"/>
      <w:szCs w:val="22"/>
      <w:shd w:val="clear" w:color="auto" w:fill="5B9BD5"/>
      <w:lang w:val="bg-BG" w:eastAsia="bg-BG"/>
    </w:rPr>
  </w:style>
  <w:style w:type="character" w:customStyle="1" w:styleId="Heading2Char">
    <w:name w:val="Heading 2 Char"/>
    <w:basedOn w:val="DefaultParagraphFont"/>
    <w:link w:val="Heading2"/>
    <w:uiPriority w:val="9"/>
    <w:rsid w:val="003F1496"/>
    <w:rPr>
      <w:rFonts w:eastAsia="Times New Roman" w:cs="Times New Roman"/>
      <w:b/>
      <w:smallCaps/>
      <w:spacing w:val="15"/>
      <w:shd w:val="clear" w:color="auto" w:fill="C5E0B3"/>
      <w:lang w:val="bg-BG" w:eastAsia="bg-BG"/>
    </w:rPr>
  </w:style>
  <w:style w:type="character" w:customStyle="1" w:styleId="Heading3Char">
    <w:name w:val="Heading 3 Char"/>
    <w:basedOn w:val="DefaultParagraphFont"/>
    <w:link w:val="Heading3"/>
    <w:uiPriority w:val="9"/>
    <w:rsid w:val="003F1496"/>
    <w:rPr>
      <w:rFonts w:eastAsia="Times New Roman" w:cs="Times New Roman"/>
      <w:caps/>
      <w:color w:val="538135"/>
      <w:spacing w:val="15"/>
      <w:lang w:val="bg-BG" w:eastAsia="bg-BG"/>
    </w:rPr>
  </w:style>
  <w:style w:type="character" w:customStyle="1" w:styleId="Heading4Char">
    <w:name w:val="Heading 4 Char"/>
    <w:basedOn w:val="DefaultParagraphFont"/>
    <w:link w:val="Heading4"/>
    <w:uiPriority w:val="9"/>
    <w:semiHidden/>
    <w:rsid w:val="003F1496"/>
    <w:rPr>
      <w:rFonts w:eastAsia="Times New Roman" w:cs="Times New Roman"/>
      <w:caps/>
      <w:color w:val="2E74B5"/>
      <w:spacing w:val="10"/>
      <w:lang w:val="bg-BG" w:eastAsia="bg-BG"/>
    </w:rPr>
  </w:style>
  <w:style w:type="character" w:customStyle="1" w:styleId="Heading5Char">
    <w:name w:val="Heading 5 Char"/>
    <w:basedOn w:val="DefaultParagraphFont"/>
    <w:link w:val="Heading5"/>
    <w:uiPriority w:val="9"/>
    <w:semiHidden/>
    <w:rsid w:val="003F1496"/>
    <w:rPr>
      <w:rFonts w:ascii="Times New Roman" w:eastAsia="Times New Roman" w:hAnsi="Times New Roman" w:cs="Times New Roman"/>
      <w:caps/>
      <w:color w:val="2E74B5"/>
      <w:spacing w:val="10"/>
      <w:sz w:val="24"/>
      <w:szCs w:val="24"/>
      <w:lang w:val="bg-BG" w:eastAsia="bg-BG"/>
    </w:rPr>
  </w:style>
  <w:style w:type="character" w:customStyle="1" w:styleId="Heading6Char">
    <w:name w:val="Heading 6 Char"/>
    <w:basedOn w:val="DefaultParagraphFont"/>
    <w:link w:val="Heading6"/>
    <w:uiPriority w:val="9"/>
    <w:semiHidden/>
    <w:rsid w:val="003F1496"/>
    <w:rPr>
      <w:rFonts w:ascii="Times New Roman" w:eastAsia="Times New Roman" w:hAnsi="Times New Roman" w:cs="Times New Roman"/>
      <w:caps/>
      <w:color w:val="2E74B5"/>
      <w:spacing w:val="10"/>
      <w:sz w:val="24"/>
      <w:szCs w:val="24"/>
      <w:lang w:val="bg-BG" w:eastAsia="bg-BG"/>
    </w:rPr>
  </w:style>
  <w:style w:type="character" w:customStyle="1" w:styleId="Heading7Char">
    <w:name w:val="Heading 7 Char"/>
    <w:basedOn w:val="DefaultParagraphFont"/>
    <w:link w:val="Heading7"/>
    <w:uiPriority w:val="9"/>
    <w:semiHidden/>
    <w:rsid w:val="003F1496"/>
    <w:rPr>
      <w:rFonts w:ascii="Times New Roman" w:eastAsia="Times New Roman" w:hAnsi="Times New Roman" w:cs="Times New Roman"/>
      <w:caps/>
      <w:color w:val="2E74B5"/>
      <w:spacing w:val="10"/>
      <w:sz w:val="24"/>
      <w:szCs w:val="24"/>
      <w:lang w:val="bg-BG" w:eastAsia="bg-BG"/>
    </w:rPr>
  </w:style>
  <w:style w:type="character" w:customStyle="1" w:styleId="Heading8Char">
    <w:name w:val="Heading 8 Char"/>
    <w:basedOn w:val="DefaultParagraphFont"/>
    <w:link w:val="Heading8"/>
    <w:uiPriority w:val="9"/>
    <w:semiHidden/>
    <w:rsid w:val="003F1496"/>
    <w:rPr>
      <w:rFonts w:ascii="Times New Roman" w:eastAsia="Times New Roman" w:hAnsi="Times New Roman" w:cs="Times New Roman"/>
      <w:caps/>
      <w:spacing w:val="10"/>
      <w:sz w:val="18"/>
      <w:szCs w:val="18"/>
      <w:lang w:val="bg-BG" w:eastAsia="bg-BG"/>
    </w:rPr>
  </w:style>
  <w:style w:type="character" w:customStyle="1" w:styleId="Heading9Char">
    <w:name w:val="Heading 9 Char"/>
    <w:basedOn w:val="DefaultParagraphFont"/>
    <w:link w:val="Heading9"/>
    <w:uiPriority w:val="9"/>
    <w:semiHidden/>
    <w:rsid w:val="003F1496"/>
    <w:rPr>
      <w:rFonts w:ascii="Times New Roman" w:eastAsia="Times New Roman" w:hAnsi="Times New Roman" w:cs="Times New Roman"/>
      <w:i/>
      <w:iCs/>
      <w:caps/>
      <w:spacing w:val="10"/>
      <w:sz w:val="18"/>
      <w:szCs w:val="18"/>
      <w:lang w:val="bg-BG" w:eastAsia="bg-BG"/>
    </w:rPr>
  </w:style>
  <w:style w:type="paragraph" w:styleId="ListParagraph">
    <w:name w:val="List Paragraph"/>
    <w:aliases w:val="EnTraS_Dokumentenreferenz,#Listenabsatz,Párrafo de lista1,Liststycke,Listenabsatz1,List Paragraph1,List Paragraph11,Paragrafo elenco,Paragraphe de liste1,P?rrafo de lista,P?rrafo de lista1,Párrafo de lista,Paragraphe de liste"/>
    <w:basedOn w:val="Normal"/>
    <w:link w:val="ListParagraphChar"/>
    <w:uiPriority w:val="34"/>
    <w:qFormat/>
    <w:rsid w:val="003F1496"/>
    <w:pPr>
      <w:keepLines/>
      <w:spacing w:before="120" w:after="120" w:line="276" w:lineRule="auto"/>
      <w:ind w:left="720"/>
      <w:contextualSpacing/>
      <w:jc w:val="both"/>
    </w:pPr>
    <w:rPr>
      <w:rFonts w:ascii="Verdana" w:hAnsi="Verdana"/>
      <w:sz w:val="20"/>
      <w:szCs w:val="20"/>
    </w:rPr>
  </w:style>
  <w:style w:type="character" w:customStyle="1" w:styleId="FootnoteTextChar">
    <w:name w:val="Footnote Text Char"/>
    <w:aliases w:val="S_footer Char,Podrozdział Char,stile 1 Char,Footnote1 Char,Footnote2 Char,Footnote3 Char,Footnote4 Char,Footnote5 Char,Footnote6 Char,Footnote7 Char,Footnote8 Char,Footnote9 Char,Footnote10 Char,Footnote11 Char,Footnote21 Char"/>
    <w:link w:val="FootnoteText"/>
    <w:uiPriority w:val="99"/>
    <w:qFormat/>
    <w:rsid w:val="003F1496"/>
    <w:rPr>
      <w:sz w:val="16"/>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uiPriority w:val="99"/>
    <w:unhideWhenUsed/>
    <w:qFormat/>
    <w:rsid w:val="003F1496"/>
    <w:rPr>
      <w:vertAlign w:val="superscript"/>
    </w:rPr>
  </w:style>
  <w:style w:type="paragraph" w:styleId="BalloonText">
    <w:name w:val="Balloon Text"/>
    <w:basedOn w:val="Normal"/>
    <w:link w:val="BalloonTextChar"/>
    <w:uiPriority w:val="99"/>
    <w:semiHidden/>
    <w:unhideWhenUsed/>
    <w:rsid w:val="003F1496"/>
    <w:pPr>
      <w:keepLines/>
      <w:spacing w:before="120"/>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496"/>
    <w:rPr>
      <w:rFonts w:ascii="Segoe UI" w:eastAsia="Times New Roman" w:hAnsi="Segoe UI" w:cs="Segoe UI"/>
      <w:sz w:val="18"/>
      <w:szCs w:val="18"/>
      <w:lang w:val="bg-BG" w:eastAsia="bg-BG"/>
    </w:rPr>
  </w:style>
  <w:style w:type="character" w:customStyle="1" w:styleId="HeaderChar">
    <w:name w:val="Header Char"/>
    <w:basedOn w:val="DefaultParagraphFont"/>
    <w:link w:val="Header"/>
    <w:uiPriority w:val="99"/>
    <w:rsid w:val="003F1496"/>
  </w:style>
  <w:style w:type="paragraph" w:styleId="Footer">
    <w:name w:val="footer"/>
    <w:basedOn w:val="Normal"/>
    <w:link w:val="FooterChar"/>
    <w:uiPriority w:val="99"/>
    <w:unhideWhenUsed/>
    <w:rsid w:val="003F1496"/>
    <w:pPr>
      <w:keepLines/>
      <w:tabs>
        <w:tab w:val="center" w:pos="4536"/>
        <w:tab w:val="right" w:pos="9072"/>
      </w:tabs>
      <w:spacing w:before="120"/>
      <w:jc w:val="both"/>
    </w:pPr>
    <w:rPr>
      <w:rFonts w:ascii="Verdana" w:hAnsi="Verdana"/>
      <w:sz w:val="20"/>
      <w:szCs w:val="20"/>
    </w:rPr>
  </w:style>
  <w:style w:type="character" w:customStyle="1" w:styleId="FooterChar">
    <w:name w:val="Footer Char"/>
    <w:basedOn w:val="DefaultParagraphFont"/>
    <w:link w:val="Footer"/>
    <w:uiPriority w:val="99"/>
    <w:rsid w:val="003F1496"/>
    <w:rPr>
      <w:rFonts w:eastAsia="Times New Roman" w:cs="Times New Roman"/>
      <w:lang w:val="bg-BG" w:eastAsia="bg-BG"/>
    </w:rPr>
  </w:style>
  <w:style w:type="table" w:styleId="TableGrid">
    <w:name w:val="Table Grid"/>
    <w:basedOn w:val="TableNormal"/>
    <w:rsid w:val="003F1496"/>
    <w:pPr>
      <w:spacing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F1496"/>
  </w:style>
  <w:style w:type="character" w:customStyle="1" w:styleId="EndnoteTextChar">
    <w:name w:val="Endnote Text Char"/>
    <w:basedOn w:val="DefaultParagraphFont"/>
    <w:link w:val="EndnoteText"/>
    <w:uiPriority w:val="99"/>
    <w:semiHidden/>
    <w:rsid w:val="003F1496"/>
    <w:rPr>
      <w:rFonts w:ascii="Times New Roman" w:eastAsia="Times New Roman" w:hAnsi="Times New Roman" w:cs="Times New Roman"/>
      <w:sz w:val="24"/>
      <w:szCs w:val="24"/>
      <w:lang w:val="bg-BG" w:eastAsia="bg-BG"/>
    </w:rPr>
  </w:style>
  <w:style w:type="character" w:styleId="EndnoteReference">
    <w:name w:val="endnote reference"/>
    <w:uiPriority w:val="99"/>
    <w:semiHidden/>
    <w:unhideWhenUsed/>
    <w:rsid w:val="003F1496"/>
    <w:rPr>
      <w:vertAlign w:val="superscript"/>
    </w:rPr>
  </w:style>
  <w:style w:type="character" w:customStyle="1" w:styleId="ldef">
    <w:name w:val="ldef"/>
    <w:basedOn w:val="DefaultParagraphFont"/>
    <w:rsid w:val="003F1496"/>
  </w:style>
  <w:style w:type="character" w:styleId="Hyperlink">
    <w:name w:val="Hyperlink"/>
    <w:uiPriority w:val="99"/>
    <w:unhideWhenUsed/>
    <w:rsid w:val="003F1496"/>
    <w:rPr>
      <w:color w:val="0563C1"/>
      <w:u w:val="single"/>
    </w:rPr>
  </w:style>
  <w:style w:type="character" w:styleId="CommentReference">
    <w:name w:val="annotation reference"/>
    <w:uiPriority w:val="99"/>
    <w:semiHidden/>
    <w:unhideWhenUsed/>
    <w:rsid w:val="003F1496"/>
    <w:rPr>
      <w:sz w:val="16"/>
      <w:szCs w:val="16"/>
    </w:rPr>
  </w:style>
  <w:style w:type="paragraph" w:styleId="CommentText">
    <w:name w:val="annotation text"/>
    <w:basedOn w:val="Normal"/>
    <w:link w:val="CommentTextChar"/>
    <w:uiPriority w:val="99"/>
    <w:unhideWhenUsed/>
    <w:rsid w:val="003F1496"/>
    <w:pPr>
      <w:keepLines/>
      <w:spacing w:before="120" w:after="120"/>
      <w:jc w:val="both"/>
    </w:pPr>
    <w:rPr>
      <w:rFonts w:ascii="Verdana" w:hAnsi="Verdana"/>
      <w:sz w:val="20"/>
      <w:szCs w:val="20"/>
    </w:rPr>
  </w:style>
  <w:style w:type="character" w:customStyle="1" w:styleId="CommentTextChar">
    <w:name w:val="Comment Text Char"/>
    <w:basedOn w:val="DefaultParagraphFont"/>
    <w:link w:val="CommentText"/>
    <w:uiPriority w:val="99"/>
    <w:rsid w:val="003F1496"/>
    <w:rPr>
      <w:rFonts w:eastAsia="Times New Roman" w:cs="Times New Roman"/>
      <w:lang w:val="bg-BG" w:eastAsia="bg-BG"/>
    </w:rPr>
  </w:style>
  <w:style w:type="paragraph" w:styleId="CommentSubject">
    <w:name w:val="annotation subject"/>
    <w:basedOn w:val="CommentText"/>
    <w:next w:val="CommentText"/>
    <w:link w:val="CommentSubjectChar"/>
    <w:uiPriority w:val="99"/>
    <w:semiHidden/>
    <w:unhideWhenUsed/>
    <w:rsid w:val="003F1496"/>
    <w:rPr>
      <w:b/>
      <w:bCs/>
    </w:rPr>
  </w:style>
  <w:style w:type="character" w:customStyle="1" w:styleId="CommentSubjectChar">
    <w:name w:val="Comment Subject Char"/>
    <w:basedOn w:val="CommentTextChar"/>
    <w:link w:val="CommentSubject"/>
    <w:uiPriority w:val="99"/>
    <w:semiHidden/>
    <w:rsid w:val="003F1496"/>
    <w:rPr>
      <w:rFonts w:eastAsia="Times New Roman" w:cs="Times New Roman"/>
      <w:b/>
      <w:bCs/>
      <w:lang w:val="bg-BG" w:eastAsia="bg-BG"/>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3F1496"/>
    <w:pPr>
      <w:keepLines/>
      <w:tabs>
        <w:tab w:val="left" w:pos="709"/>
      </w:tabs>
      <w:spacing w:before="120"/>
      <w:jc w:val="both"/>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3F1496"/>
    <w:pPr>
      <w:keepLines/>
      <w:tabs>
        <w:tab w:val="left" w:pos="709"/>
      </w:tabs>
      <w:spacing w:before="120"/>
      <w:jc w:val="both"/>
    </w:pPr>
    <w:rPr>
      <w:rFonts w:ascii="Tahoma" w:hAnsi="Tahoma"/>
      <w:lang w:val="pl-PL" w:eastAsia="pl-PL"/>
    </w:rPr>
  </w:style>
  <w:style w:type="paragraph" w:styleId="NormalWeb">
    <w:name w:val="Normal (Web)"/>
    <w:basedOn w:val="Normal"/>
    <w:uiPriority w:val="99"/>
    <w:semiHidden/>
    <w:unhideWhenUsed/>
    <w:rsid w:val="003F1496"/>
    <w:pPr>
      <w:ind w:firstLine="990"/>
    </w:pPr>
    <w:rPr>
      <w:color w:val="000000"/>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3F1496"/>
    <w:pPr>
      <w:keepLines/>
      <w:tabs>
        <w:tab w:val="left" w:pos="709"/>
      </w:tabs>
      <w:spacing w:before="120"/>
      <w:jc w:val="both"/>
    </w:pPr>
    <w:rPr>
      <w:rFonts w:ascii="Tahoma" w:hAnsi="Tahoma"/>
      <w:lang w:val="pl-PL" w:eastAsia="pl-PL"/>
    </w:rPr>
  </w:style>
  <w:style w:type="paragraph" w:styleId="Revision">
    <w:name w:val="Revision"/>
    <w:hidden/>
    <w:uiPriority w:val="99"/>
    <w:rsid w:val="003F1496"/>
    <w:pPr>
      <w:spacing w:before="100" w:after="200" w:line="276" w:lineRule="auto"/>
    </w:pPr>
    <w:rPr>
      <w:rFonts w:ascii="Calibri" w:eastAsia="Times New Roman" w:hAnsi="Calibri" w:cs="Times New Roman"/>
      <w:sz w:val="22"/>
      <w:szCs w:val="22"/>
      <w:lang w:val="bg-BG" w:eastAsia="en-US"/>
    </w:rPr>
  </w:style>
  <w:style w:type="paragraph" w:styleId="TOCHeading">
    <w:name w:val="TOC Heading"/>
    <w:basedOn w:val="Heading1"/>
    <w:next w:val="Normal"/>
    <w:uiPriority w:val="39"/>
    <w:unhideWhenUsed/>
    <w:qFormat/>
    <w:rsid w:val="003F1496"/>
    <w:pPr>
      <w:outlineLvl w:val="9"/>
    </w:pPr>
  </w:style>
  <w:style w:type="paragraph" w:styleId="TOC2">
    <w:name w:val="toc 2"/>
    <w:basedOn w:val="Normal"/>
    <w:next w:val="Normal"/>
    <w:autoRedefine/>
    <w:uiPriority w:val="39"/>
    <w:unhideWhenUsed/>
    <w:rsid w:val="00946DE3"/>
    <w:pPr>
      <w:keepLines/>
      <w:tabs>
        <w:tab w:val="right" w:leader="dot" w:pos="9346"/>
      </w:tabs>
      <w:spacing w:before="120" w:after="100" w:line="276" w:lineRule="auto"/>
      <w:jc w:val="both"/>
    </w:pPr>
    <w:rPr>
      <w:rFonts w:ascii="Verdana" w:hAnsi="Verdana"/>
      <w:sz w:val="20"/>
      <w:szCs w:val="20"/>
    </w:rPr>
  </w:style>
  <w:style w:type="paragraph" w:styleId="TOC3">
    <w:name w:val="toc 3"/>
    <w:basedOn w:val="Normal"/>
    <w:next w:val="Normal"/>
    <w:autoRedefine/>
    <w:uiPriority w:val="39"/>
    <w:unhideWhenUsed/>
    <w:rsid w:val="00242C48"/>
    <w:pPr>
      <w:keepLines/>
      <w:tabs>
        <w:tab w:val="right" w:leader="dot" w:pos="9060"/>
      </w:tabs>
      <w:spacing w:before="120" w:after="100" w:line="276" w:lineRule="auto"/>
      <w:ind w:left="440"/>
      <w:jc w:val="both"/>
    </w:pPr>
    <w:rPr>
      <w:rFonts w:ascii="Verdana" w:hAnsi="Verdana"/>
      <w:sz w:val="20"/>
      <w:szCs w:val="20"/>
    </w:rPr>
  </w:style>
  <w:style w:type="paragraph" w:customStyle="1" w:styleId="CharChar">
    <w:name w:val="Char Char"/>
    <w:basedOn w:val="Normal"/>
    <w:rsid w:val="003F1496"/>
    <w:pPr>
      <w:keepLines/>
      <w:tabs>
        <w:tab w:val="left" w:pos="709"/>
      </w:tabs>
      <w:spacing w:before="120"/>
      <w:jc w:val="both"/>
    </w:pPr>
    <w:rPr>
      <w:rFonts w:ascii="Tahoma" w:hAnsi="Tahoma"/>
      <w:lang w:val="pl-PL" w:eastAsia="pl-PL"/>
    </w:rPr>
  </w:style>
  <w:style w:type="paragraph" w:customStyle="1" w:styleId="Default">
    <w:name w:val="Default"/>
    <w:rsid w:val="003F1496"/>
    <w:pPr>
      <w:autoSpaceDE w:val="0"/>
      <w:autoSpaceDN w:val="0"/>
      <w:adjustRightInd w:val="0"/>
      <w:spacing w:before="100" w:after="200" w:line="276" w:lineRule="auto"/>
    </w:pPr>
    <w:rPr>
      <w:rFonts w:ascii="Times New Roman" w:eastAsia="Times New Roman" w:hAnsi="Times New Roman" w:cs="Times New Roman"/>
      <w:color w:val="000000"/>
      <w:sz w:val="24"/>
      <w:szCs w:val="24"/>
      <w:lang w:val="bg-BG" w:eastAsia="en-US"/>
    </w:rPr>
  </w:style>
  <w:style w:type="character" w:customStyle="1" w:styleId="msoins0">
    <w:name w:val="msoins"/>
    <w:basedOn w:val="DefaultParagraphFont"/>
    <w:rsid w:val="003F1496"/>
  </w:style>
  <w:style w:type="character" w:customStyle="1" w:styleId="msodel0">
    <w:name w:val="msodel"/>
    <w:basedOn w:val="DefaultParagraphFont"/>
    <w:rsid w:val="003F1496"/>
  </w:style>
  <w:style w:type="character" w:styleId="FollowedHyperlink">
    <w:name w:val="FollowedHyperlink"/>
    <w:uiPriority w:val="99"/>
    <w:semiHidden/>
    <w:unhideWhenUsed/>
    <w:rsid w:val="003F1496"/>
    <w:rPr>
      <w:color w:val="954F72"/>
      <w:u w:val="single"/>
    </w:rPr>
  </w:style>
  <w:style w:type="paragraph" w:customStyle="1" w:styleId="CharChar2CharCharCharCharCharCharCharCharCharCharCharCharCharCharCharCharCharCharCharCharCharCharCharCharCharCharCharChar1">
    <w:name w:val="Char Char2 Char Char Char Char Char Char Char Char Char Char Char Char Char Char Char Char Char Char Char Char Char Char Char Char Char Char Char Char1"/>
    <w:basedOn w:val="Normal"/>
    <w:rsid w:val="003F1496"/>
    <w:pPr>
      <w:keepLines/>
      <w:tabs>
        <w:tab w:val="left" w:pos="709"/>
      </w:tabs>
      <w:spacing w:before="120"/>
      <w:jc w:val="both"/>
    </w:pPr>
    <w:rPr>
      <w:rFonts w:ascii="Tahoma" w:hAnsi="Tahoma"/>
      <w:lang w:val="pl-PL" w:eastAsia="pl-PL"/>
    </w:rPr>
  </w:style>
  <w:style w:type="table" w:customStyle="1" w:styleId="TableGrid1">
    <w:name w:val="Table Grid1"/>
    <w:basedOn w:val="TableNormal"/>
    <w:next w:val="TableGrid"/>
    <w:uiPriority w:val="59"/>
    <w:rsid w:val="003F1496"/>
    <w:pPr>
      <w:spacing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Знак Знак"/>
    <w:basedOn w:val="Normal"/>
    <w:rsid w:val="003F1496"/>
    <w:pPr>
      <w:keepLines/>
      <w:tabs>
        <w:tab w:val="left" w:pos="709"/>
      </w:tabs>
      <w:spacing w:before="120"/>
      <w:jc w:val="both"/>
    </w:pPr>
    <w:rPr>
      <w:rFonts w:ascii="Tahoma" w:hAnsi="Tahoma"/>
      <w:lang w:val="pl-PL" w:eastAsia="pl-PL"/>
    </w:rPr>
  </w:style>
  <w:style w:type="table" w:customStyle="1" w:styleId="TableGrid2">
    <w:name w:val="Table Grid2"/>
    <w:basedOn w:val="TableNormal"/>
    <w:next w:val="TableGrid"/>
    <w:uiPriority w:val="39"/>
    <w:rsid w:val="003F1496"/>
    <w:pPr>
      <w:spacing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F1496"/>
    <w:rPr>
      <w:b/>
      <w:bCs/>
      <w:color w:val="2E74B5"/>
      <w:sz w:val="16"/>
      <w:szCs w:val="16"/>
    </w:rPr>
  </w:style>
  <w:style w:type="paragraph" w:styleId="Title">
    <w:name w:val="Title"/>
    <w:basedOn w:val="Normal"/>
    <w:next w:val="Normal"/>
    <w:link w:val="TitleChar"/>
    <w:uiPriority w:val="10"/>
    <w:qFormat/>
    <w:rsid w:val="003F1496"/>
    <w:pPr>
      <w:keepLines/>
      <w:spacing w:line="276" w:lineRule="auto"/>
      <w:jc w:val="both"/>
    </w:pPr>
    <w:rPr>
      <w:rFonts w:ascii="Calibri Light" w:eastAsia="SimSun" w:hAnsi="Calibri Light"/>
      <w:caps/>
      <w:color w:val="5B9BD5"/>
      <w:spacing w:val="10"/>
      <w:sz w:val="52"/>
      <w:szCs w:val="52"/>
    </w:rPr>
  </w:style>
  <w:style w:type="character" w:customStyle="1" w:styleId="TitleChar">
    <w:name w:val="Title Char"/>
    <w:basedOn w:val="DefaultParagraphFont"/>
    <w:link w:val="Title"/>
    <w:uiPriority w:val="10"/>
    <w:rsid w:val="003F1496"/>
    <w:rPr>
      <w:rFonts w:ascii="Calibri Light" w:eastAsia="SimSun" w:hAnsi="Calibri Light" w:cs="Times New Roman"/>
      <w:caps/>
      <w:color w:val="5B9BD5"/>
      <w:spacing w:val="10"/>
      <w:sz w:val="52"/>
      <w:szCs w:val="52"/>
      <w:lang w:val="bg-BG" w:eastAsia="bg-BG"/>
    </w:rPr>
  </w:style>
  <w:style w:type="paragraph" w:styleId="Subtitle">
    <w:name w:val="Subtitle"/>
    <w:basedOn w:val="Normal"/>
    <w:next w:val="Normal"/>
    <w:link w:val="SubtitleChar"/>
    <w:uiPriority w:val="11"/>
    <w:qFormat/>
    <w:rsid w:val="003F1496"/>
    <w:pPr>
      <w:keepLines/>
      <w:spacing w:after="500"/>
      <w:jc w:val="both"/>
    </w:pPr>
    <w:rPr>
      <w:rFonts w:ascii="Verdana" w:hAnsi="Verdana"/>
      <w:caps/>
      <w:color w:val="595959"/>
      <w:spacing w:val="10"/>
      <w:sz w:val="21"/>
      <w:szCs w:val="21"/>
    </w:rPr>
  </w:style>
  <w:style w:type="character" w:customStyle="1" w:styleId="SubtitleChar">
    <w:name w:val="Subtitle Char"/>
    <w:basedOn w:val="DefaultParagraphFont"/>
    <w:link w:val="Subtitle"/>
    <w:uiPriority w:val="11"/>
    <w:rsid w:val="003F1496"/>
    <w:rPr>
      <w:rFonts w:eastAsia="Times New Roman" w:cs="Times New Roman"/>
      <w:caps/>
      <w:color w:val="595959"/>
      <w:spacing w:val="10"/>
      <w:sz w:val="21"/>
      <w:szCs w:val="21"/>
      <w:lang w:val="bg-BG" w:eastAsia="bg-BG"/>
    </w:rPr>
  </w:style>
  <w:style w:type="character" w:styleId="Strong">
    <w:name w:val="Strong"/>
    <w:uiPriority w:val="22"/>
    <w:qFormat/>
    <w:rsid w:val="003F1496"/>
    <w:rPr>
      <w:b/>
      <w:bCs/>
    </w:rPr>
  </w:style>
  <w:style w:type="character" w:styleId="Emphasis">
    <w:name w:val="Emphasis"/>
    <w:uiPriority w:val="20"/>
    <w:qFormat/>
    <w:rsid w:val="003F1496"/>
    <w:rPr>
      <w:caps/>
      <w:color w:val="1F4D78"/>
      <w:spacing w:val="5"/>
    </w:rPr>
  </w:style>
  <w:style w:type="paragraph" w:styleId="NoSpacing">
    <w:name w:val="No Spacing"/>
    <w:uiPriority w:val="1"/>
    <w:qFormat/>
    <w:rsid w:val="003F1496"/>
    <w:pPr>
      <w:spacing w:before="100" w:line="240" w:lineRule="auto"/>
    </w:pPr>
    <w:rPr>
      <w:rFonts w:ascii="Calibri" w:eastAsia="Times New Roman" w:hAnsi="Calibri" w:cs="Times New Roman"/>
      <w:lang w:val="bg-BG" w:eastAsia="bg-BG"/>
    </w:rPr>
  </w:style>
  <w:style w:type="paragraph" w:styleId="Quote">
    <w:name w:val="Quote"/>
    <w:basedOn w:val="Normal"/>
    <w:next w:val="Normal"/>
    <w:link w:val="QuoteChar"/>
    <w:uiPriority w:val="29"/>
    <w:qFormat/>
    <w:rsid w:val="003F1496"/>
    <w:pPr>
      <w:keepLines/>
      <w:spacing w:before="120" w:after="120" w:line="276" w:lineRule="auto"/>
      <w:jc w:val="both"/>
    </w:pPr>
    <w:rPr>
      <w:rFonts w:ascii="Verdana" w:hAnsi="Verdana"/>
      <w:i/>
      <w:iCs/>
    </w:rPr>
  </w:style>
  <w:style w:type="character" w:customStyle="1" w:styleId="QuoteChar">
    <w:name w:val="Quote Char"/>
    <w:basedOn w:val="DefaultParagraphFont"/>
    <w:link w:val="Quote"/>
    <w:uiPriority w:val="29"/>
    <w:rsid w:val="003F1496"/>
    <w:rPr>
      <w:rFonts w:eastAsia="Times New Roman" w:cs="Times New Roman"/>
      <w:i/>
      <w:iCs/>
      <w:sz w:val="24"/>
      <w:szCs w:val="24"/>
      <w:lang w:val="bg-BG" w:eastAsia="bg-BG"/>
    </w:rPr>
  </w:style>
  <w:style w:type="paragraph" w:styleId="IntenseQuote">
    <w:name w:val="Intense Quote"/>
    <w:basedOn w:val="Normal"/>
    <w:next w:val="Normal"/>
    <w:link w:val="IntenseQuoteChar"/>
    <w:uiPriority w:val="30"/>
    <w:qFormat/>
    <w:rsid w:val="003F1496"/>
    <w:pPr>
      <w:keepLines/>
      <w:spacing w:before="240" w:after="240"/>
      <w:ind w:left="1080" w:right="1080"/>
      <w:jc w:val="center"/>
    </w:pPr>
    <w:rPr>
      <w:rFonts w:ascii="Verdana" w:hAnsi="Verdana"/>
      <w:color w:val="5B9BD5"/>
    </w:rPr>
  </w:style>
  <w:style w:type="character" w:customStyle="1" w:styleId="IntenseQuoteChar">
    <w:name w:val="Intense Quote Char"/>
    <w:basedOn w:val="DefaultParagraphFont"/>
    <w:link w:val="IntenseQuote"/>
    <w:uiPriority w:val="30"/>
    <w:rsid w:val="003F1496"/>
    <w:rPr>
      <w:rFonts w:eastAsia="Times New Roman" w:cs="Times New Roman"/>
      <w:color w:val="5B9BD5"/>
      <w:sz w:val="24"/>
      <w:szCs w:val="24"/>
      <w:lang w:val="bg-BG" w:eastAsia="bg-BG"/>
    </w:rPr>
  </w:style>
  <w:style w:type="character" w:styleId="SubtleEmphasis">
    <w:name w:val="Subtle Emphasis"/>
    <w:uiPriority w:val="19"/>
    <w:qFormat/>
    <w:rsid w:val="003F1496"/>
    <w:rPr>
      <w:i/>
      <w:iCs/>
      <w:color w:val="1F4D78"/>
    </w:rPr>
  </w:style>
  <w:style w:type="character" w:styleId="IntenseEmphasis">
    <w:name w:val="Intense Emphasis"/>
    <w:uiPriority w:val="21"/>
    <w:qFormat/>
    <w:rsid w:val="003F1496"/>
    <w:rPr>
      <w:b/>
      <w:bCs/>
      <w:caps/>
      <w:color w:val="1F4D78"/>
      <w:spacing w:val="10"/>
    </w:rPr>
  </w:style>
  <w:style w:type="character" w:styleId="SubtleReference">
    <w:name w:val="Subtle Reference"/>
    <w:uiPriority w:val="31"/>
    <w:qFormat/>
    <w:rsid w:val="003F1496"/>
    <w:rPr>
      <w:b/>
      <w:bCs/>
      <w:color w:val="5B9BD5"/>
    </w:rPr>
  </w:style>
  <w:style w:type="character" w:styleId="IntenseReference">
    <w:name w:val="Intense Reference"/>
    <w:uiPriority w:val="32"/>
    <w:qFormat/>
    <w:rsid w:val="003F1496"/>
    <w:rPr>
      <w:b/>
      <w:bCs/>
      <w:i/>
      <w:iCs/>
      <w:caps/>
      <w:color w:val="5B9BD5"/>
    </w:rPr>
  </w:style>
  <w:style w:type="character" w:styleId="BookTitle">
    <w:name w:val="Book Title"/>
    <w:uiPriority w:val="33"/>
    <w:qFormat/>
    <w:rsid w:val="003F1496"/>
    <w:rPr>
      <w:b/>
      <w:bCs/>
      <w:i/>
      <w:iCs/>
      <w:spacing w:val="0"/>
    </w:rPr>
  </w:style>
  <w:style w:type="numbering" w:customStyle="1" w:styleId="Style1">
    <w:name w:val="Style1"/>
    <w:uiPriority w:val="99"/>
    <w:rsid w:val="003F1496"/>
    <w:pPr>
      <w:numPr>
        <w:numId w:val="9"/>
      </w:numPr>
    </w:pPr>
  </w:style>
  <w:style w:type="character" w:customStyle="1" w:styleId="markedcontent">
    <w:name w:val="markedcontent"/>
    <w:basedOn w:val="DefaultParagraphFont"/>
    <w:rsid w:val="003F1496"/>
  </w:style>
  <w:style w:type="character" w:customStyle="1" w:styleId="UnresolvedMention1">
    <w:name w:val="Unresolved Mention1"/>
    <w:basedOn w:val="DefaultParagraphFont"/>
    <w:semiHidden/>
    <w:rsid w:val="002B0C5E"/>
    <w:rPr>
      <w:color w:val="605E5C"/>
      <w:shd w:val="clear" w:color="auto" w:fill="E1DFDD"/>
    </w:rPr>
  </w:style>
  <w:style w:type="character" w:customStyle="1" w:styleId="fontstyle01">
    <w:name w:val="fontstyle01"/>
    <w:basedOn w:val="DefaultParagraphFont"/>
    <w:rsid w:val="00BF6236"/>
    <w:rPr>
      <w:rFonts w:ascii="TimesNewRomanPSMT" w:hAnsi="TimesNewRomanPSMT" w:hint="default"/>
      <w:b w:val="0"/>
      <w:bCs w:val="0"/>
      <w:i w:val="0"/>
      <w:iCs w:val="0"/>
      <w:color w:val="231F20"/>
      <w:sz w:val="20"/>
      <w:szCs w:val="20"/>
    </w:rPr>
  </w:style>
  <w:style w:type="table" w:customStyle="1" w:styleId="XETable1">
    <w:name w:val="XE Table1"/>
    <w:basedOn w:val="TableNormal"/>
    <w:next w:val="TableGrid"/>
    <w:uiPriority w:val="39"/>
    <w:rsid w:val="00472F19"/>
    <w:pPr>
      <w:spacing w:line="240" w:lineRule="auto"/>
    </w:pPr>
    <w:rPr>
      <w:rFonts w:asciiTheme="minorHAnsi" w:eastAsiaTheme="minorEastAsia" w:hAnsiTheme="minorHAnsi" w:cstheme="minorBidi"/>
      <w:sz w:val="18"/>
      <w:szCs w:val="22"/>
      <w:lang w:val="en-GB" w:eastAsia="zh-TW"/>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113" w:type="dxa"/>
        <w:bottom w:w="57" w:type="dxa"/>
        <w:right w:w="113" w:type="dxa"/>
      </w:tblCellMar>
    </w:tbl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F81BD" w:themeFill="accent1"/>
      </w:tcPr>
    </w:tblStylePr>
  </w:style>
  <w:style w:type="character" w:customStyle="1" w:styleId="UnresolvedMention2">
    <w:name w:val="Unresolved Mention2"/>
    <w:basedOn w:val="DefaultParagraphFont"/>
    <w:uiPriority w:val="99"/>
    <w:semiHidden/>
    <w:unhideWhenUsed/>
    <w:rsid w:val="00E2069E"/>
    <w:rPr>
      <w:color w:val="605E5C"/>
      <w:shd w:val="clear" w:color="auto" w:fill="E1DFDD"/>
    </w:rPr>
  </w:style>
  <w:style w:type="paragraph" w:customStyle="1" w:styleId="P68B1DB1-Normal4">
    <w:name w:val="P68B1DB1-Normal4"/>
    <w:basedOn w:val="Normal"/>
    <w:rsid w:val="004002AE"/>
    <w:pPr>
      <w:spacing w:after="108" w:line="249" w:lineRule="auto"/>
      <w:ind w:left="10" w:right="141" w:hanging="10"/>
      <w:jc w:val="both"/>
    </w:pPr>
    <w:rPr>
      <w:color w:val="000000"/>
      <w:szCs w:val="20"/>
      <w:lang w:val="bg"/>
    </w:rPr>
  </w:style>
  <w:style w:type="paragraph" w:customStyle="1" w:styleId="P68B1DB1-Normal11">
    <w:name w:val="P68B1DB1-Normal11"/>
    <w:basedOn w:val="Normal"/>
    <w:rsid w:val="00867907"/>
    <w:rPr>
      <w:color w:val="000000" w:themeColor="text1"/>
      <w:szCs w:val="20"/>
      <w:lang w:val="bg"/>
    </w:rPr>
  </w:style>
  <w:style w:type="paragraph" w:customStyle="1" w:styleId="RRFMeasureH1">
    <w:name w:val="RRF Measure H1"/>
    <w:qFormat/>
    <w:rsid w:val="00703BA4"/>
    <w:pPr>
      <w:widowControl w:val="0"/>
      <w:numPr>
        <w:numId w:val="13"/>
      </w:numPr>
      <w:suppressAutoHyphens/>
      <w:spacing w:before="240" w:after="120" w:line="240" w:lineRule="auto"/>
      <w:jc w:val="both"/>
    </w:pPr>
    <w:rPr>
      <w:rFonts w:asciiTheme="majorHAnsi" w:eastAsia="Cambria" w:hAnsiTheme="majorHAnsi" w:cstheme="majorHAnsi"/>
      <w:b/>
      <w:color w:val="000000"/>
      <w:sz w:val="26"/>
      <w:szCs w:val="26"/>
      <w:lang w:val="bg-BG" w:eastAsia="en-US"/>
    </w:rPr>
  </w:style>
  <w:style w:type="character" w:customStyle="1" w:styleId="FootnoteCharacters">
    <w:name w:val="Footnote Characters"/>
    <w:basedOn w:val="DefaultParagraphFont"/>
    <w:uiPriority w:val="99"/>
    <w:unhideWhenUsed/>
    <w:qFormat/>
    <w:rsid w:val="003A3F49"/>
    <w:rPr>
      <w:vertAlign w:val="superscript"/>
    </w:rPr>
  </w:style>
  <w:style w:type="character" w:customStyle="1" w:styleId="FootnoteAnchor">
    <w:name w:val="Footnote Anchor"/>
    <w:rsid w:val="003A3F49"/>
    <w:rPr>
      <w:vertAlign w:val="superscript"/>
    </w:rPr>
  </w:style>
  <w:style w:type="paragraph" w:customStyle="1" w:styleId="RRFMeasureH2">
    <w:name w:val="RRF Measure H2"/>
    <w:qFormat/>
    <w:rsid w:val="003A3F49"/>
    <w:pPr>
      <w:keepNext/>
      <w:tabs>
        <w:tab w:val="num" w:pos="680"/>
      </w:tabs>
      <w:suppressAutoHyphens/>
      <w:spacing w:before="120" w:line="240" w:lineRule="auto"/>
      <w:ind w:left="680" w:hanging="680"/>
    </w:pPr>
    <w:rPr>
      <w:rFonts w:asciiTheme="majorHAnsi" w:eastAsia="Cambria" w:hAnsiTheme="majorHAnsi" w:cstheme="majorHAnsi"/>
      <w:b/>
      <w:color w:val="000000"/>
      <w:sz w:val="24"/>
      <w:szCs w:val="22"/>
      <w:lang w:val="bg-BG" w:eastAsia="en-US"/>
    </w:rPr>
  </w:style>
  <w:style w:type="paragraph" w:customStyle="1" w:styleId="RRFBody">
    <w:name w:val="RRF Body"/>
    <w:qFormat/>
    <w:rsid w:val="003A3F49"/>
    <w:pPr>
      <w:widowControl w:val="0"/>
      <w:suppressAutoHyphens/>
      <w:spacing w:before="120" w:line="240" w:lineRule="auto"/>
      <w:jc w:val="both"/>
    </w:pPr>
    <w:rPr>
      <w:rFonts w:asciiTheme="majorHAnsi" w:eastAsia="Cambria" w:hAnsiTheme="majorHAnsi" w:cstheme="majorHAnsi"/>
      <w:color w:val="000000"/>
      <w:sz w:val="22"/>
      <w:szCs w:val="22"/>
      <w:lang w:val="bg-BG" w:eastAsia="en-US"/>
    </w:rPr>
  </w:style>
  <w:style w:type="paragraph" w:customStyle="1" w:styleId="RRFTableNumber1">
    <w:name w:val="RRF Table Number 1"/>
    <w:basedOn w:val="ListParagraph"/>
    <w:qFormat/>
    <w:rsid w:val="003A3F49"/>
    <w:pPr>
      <w:keepLines w:val="0"/>
      <w:widowControl w:val="0"/>
      <w:numPr>
        <w:numId w:val="14"/>
      </w:numPr>
      <w:suppressAutoHyphens/>
      <w:spacing w:before="0" w:after="0" w:line="240" w:lineRule="auto"/>
    </w:pPr>
    <w:rPr>
      <w:rFonts w:asciiTheme="majorHAnsi" w:eastAsia="Cambria" w:hAnsiTheme="majorHAnsi" w:cstheme="majorHAnsi"/>
      <w:color w:val="000000"/>
      <w:sz w:val="22"/>
      <w:szCs w:val="22"/>
      <w:lang w:eastAsia="en-US"/>
    </w:rPr>
  </w:style>
  <w:style w:type="paragraph" w:customStyle="1" w:styleId="RRFBullet2">
    <w:name w:val="RRF Bullet 2"/>
    <w:qFormat/>
    <w:rsid w:val="003A3F49"/>
    <w:pPr>
      <w:widowControl w:val="0"/>
      <w:numPr>
        <w:numId w:val="15"/>
      </w:numPr>
      <w:suppressAutoHyphens/>
      <w:spacing w:line="240" w:lineRule="auto"/>
      <w:jc w:val="both"/>
    </w:pPr>
    <w:rPr>
      <w:rFonts w:asciiTheme="majorHAnsi" w:eastAsia="Arial" w:hAnsiTheme="majorHAnsi" w:cstheme="majorHAnsi"/>
      <w:color w:val="000000"/>
      <w:sz w:val="22"/>
      <w:szCs w:val="22"/>
      <w:lang w:val="bg-BG" w:eastAsia="en-US"/>
    </w:rPr>
  </w:style>
  <w:style w:type="paragraph" w:customStyle="1" w:styleId="RRFBullet1">
    <w:name w:val="RRF Bullet 1"/>
    <w:basedOn w:val="RRFBullet2"/>
    <w:qFormat/>
    <w:rsid w:val="003A3F49"/>
    <w:pPr>
      <w:ind w:left="459" w:hanging="283"/>
    </w:pPr>
    <w:rPr>
      <w:rFonts w:eastAsia="Cambria"/>
    </w:rPr>
  </w:style>
  <w:style w:type="paragraph" w:customStyle="1" w:styleId="RRFMeasureH3">
    <w:name w:val="RRF Measure H3"/>
    <w:qFormat/>
    <w:rsid w:val="003A3F49"/>
    <w:pPr>
      <w:tabs>
        <w:tab w:val="num" w:pos="680"/>
      </w:tabs>
      <w:suppressAutoHyphens/>
      <w:spacing w:before="120" w:after="120" w:line="240" w:lineRule="auto"/>
      <w:ind w:left="680" w:hanging="680"/>
    </w:pPr>
    <w:rPr>
      <w:rFonts w:asciiTheme="majorHAnsi" w:eastAsia="Cambria" w:hAnsiTheme="majorHAnsi" w:cstheme="majorHAnsi"/>
      <w:b/>
      <w:color w:val="000000"/>
      <w:sz w:val="24"/>
      <w:szCs w:val="22"/>
      <w:lang w:val="bg-BG" w:eastAsia="en-US"/>
    </w:rPr>
  </w:style>
  <w:style w:type="paragraph" w:customStyle="1" w:styleId="Text2">
    <w:name w:val="Text 2"/>
    <w:basedOn w:val="Normal"/>
    <w:rsid w:val="007700C1"/>
    <w:pPr>
      <w:tabs>
        <w:tab w:val="left" w:pos="2161"/>
      </w:tabs>
      <w:spacing w:after="240"/>
      <w:ind w:left="1077"/>
      <w:jc w:val="both"/>
    </w:pPr>
    <w:rPr>
      <w:lang w:val="en-GB" w:eastAsia="en-GB"/>
    </w:rPr>
  </w:style>
  <w:style w:type="paragraph" w:customStyle="1" w:styleId="P68B1DB1-Text28">
    <w:name w:val="P68B1DB1-Text28"/>
    <w:basedOn w:val="Normal"/>
    <w:rsid w:val="00FD3968"/>
    <w:pPr>
      <w:tabs>
        <w:tab w:val="left" w:pos="2161"/>
      </w:tabs>
      <w:spacing w:after="240"/>
      <w:ind w:left="1077"/>
      <w:jc w:val="both"/>
    </w:pPr>
    <w:rPr>
      <w:color w:val="000000" w:themeColor="text1"/>
      <w:szCs w:val="20"/>
      <w:lang w:val="en"/>
    </w:rPr>
  </w:style>
  <w:style w:type="character" w:customStyle="1" w:styleId="ListParagraphChar">
    <w:name w:val="List Paragraph Char"/>
    <w:aliases w:val="EnTraS_Dokumentenreferenz Char,#Listenabsatz Char,Párrafo de lista1 Char,Liststycke Char,Listenabsatz1 Char,List Paragraph1 Char,List Paragraph11 Char,Paragrafo elenco Char,Paragraphe de liste1 Char,P?rrafo de lista Char"/>
    <w:basedOn w:val="DefaultParagraphFont"/>
    <w:link w:val="ListParagraph"/>
    <w:uiPriority w:val="34"/>
    <w:qFormat/>
    <w:rsid w:val="00D321A6"/>
    <w:rPr>
      <w:rFonts w:eastAsia="Times New Roman" w:cs="Times New Roman"/>
      <w:lang w:val="bg-BG" w:eastAsia="bg-BG"/>
    </w:rPr>
  </w:style>
  <w:style w:type="character" w:customStyle="1" w:styleId="Mention">
    <w:name w:val="Mention"/>
    <w:basedOn w:val="DefaultParagraphFont"/>
    <w:uiPriority w:val="99"/>
    <w:unhideWhenUsed/>
    <w:rsid w:val="00E449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42535">
      <w:bodyDiv w:val="1"/>
      <w:marLeft w:val="0"/>
      <w:marRight w:val="0"/>
      <w:marTop w:val="0"/>
      <w:marBottom w:val="0"/>
      <w:divBdr>
        <w:top w:val="none" w:sz="0" w:space="0" w:color="auto"/>
        <w:left w:val="none" w:sz="0" w:space="0" w:color="auto"/>
        <w:bottom w:val="none" w:sz="0" w:space="0" w:color="auto"/>
        <w:right w:val="none" w:sz="0" w:space="0" w:color="auto"/>
      </w:divBdr>
    </w:div>
    <w:div w:id="612786030">
      <w:bodyDiv w:val="1"/>
      <w:marLeft w:val="0"/>
      <w:marRight w:val="0"/>
      <w:marTop w:val="0"/>
      <w:marBottom w:val="0"/>
      <w:divBdr>
        <w:top w:val="none" w:sz="0" w:space="0" w:color="auto"/>
        <w:left w:val="none" w:sz="0" w:space="0" w:color="auto"/>
        <w:bottom w:val="none" w:sz="0" w:space="0" w:color="auto"/>
        <w:right w:val="none" w:sz="0" w:space="0" w:color="auto"/>
      </w:divBdr>
    </w:div>
    <w:div w:id="768547596">
      <w:bodyDiv w:val="1"/>
      <w:marLeft w:val="0"/>
      <w:marRight w:val="0"/>
      <w:marTop w:val="0"/>
      <w:marBottom w:val="0"/>
      <w:divBdr>
        <w:top w:val="none" w:sz="0" w:space="0" w:color="auto"/>
        <w:left w:val="none" w:sz="0" w:space="0" w:color="auto"/>
        <w:bottom w:val="none" w:sz="0" w:space="0" w:color="auto"/>
        <w:right w:val="none" w:sz="0" w:space="0" w:color="auto"/>
      </w:divBdr>
    </w:div>
    <w:div w:id="782920988">
      <w:bodyDiv w:val="1"/>
      <w:marLeft w:val="0"/>
      <w:marRight w:val="0"/>
      <w:marTop w:val="0"/>
      <w:marBottom w:val="0"/>
      <w:divBdr>
        <w:top w:val="none" w:sz="0" w:space="0" w:color="auto"/>
        <w:left w:val="none" w:sz="0" w:space="0" w:color="auto"/>
        <w:bottom w:val="none" w:sz="0" w:space="0" w:color="auto"/>
        <w:right w:val="none" w:sz="0" w:space="0" w:color="auto"/>
      </w:divBdr>
    </w:div>
    <w:div w:id="830679827">
      <w:bodyDiv w:val="1"/>
      <w:marLeft w:val="0"/>
      <w:marRight w:val="0"/>
      <w:marTop w:val="0"/>
      <w:marBottom w:val="0"/>
      <w:divBdr>
        <w:top w:val="none" w:sz="0" w:space="0" w:color="auto"/>
        <w:left w:val="none" w:sz="0" w:space="0" w:color="auto"/>
        <w:bottom w:val="none" w:sz="0" w:space="0" w:color="auto"/>
        <w:right w:val="none" w:sz="0" w:space="0" w:color="auto"/>
      </w:divBdr>
    </w:div>
    <w:div w:id="1196969540">
      <w:bodyDiv w:val="1"/>
      <w:marLeft w:val="0"/>
      <w:marRight w:val="0"/>
      <w:marTop w:val="0"/>
      <w:marBottom w:val="0"/>
      <w:divBdr>
        <w:top w:val="none" w:sz="0" w:space="0" w:color="auto"/>
        <w:left w:val="none" w:sz="0" w:space="0" w:color="auto"/>
        <w:bottom w:val="none" w:sz="0" w:space="0" w:color="auto"/>
        <w:right w:val="none" w:sz="0" w:space="0" w:color="auto"/>
      </w:divBdr>
    </w:div>
    <w:div w:id="1363436342">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 w:id="1495878502">
      <w:bodyDiv w:val="1"/>
      <w:marLeft w:val="0"/>
      <w:marRight w:val="0"/>
      <w:marTop w:val="0"/>
      <w:marBottom w:val="0"/>
      <w:divBdr>
        <w:top w:val="none" w:sz="0" w:space="0" w:color="auto"/>
        <w:left w:val="none" w:sz="0" w:space="0" w:color="auto"/>
        <w:bottom w:val="none" w:sz="0" w:space="0" w:color="auto"/>
        <w:right w:val="none" w:sz="0" w:space="0" w:color="auto"/>
      </w:divBdr>
    </w:div>
    <w:div w:id="1665010775">
      <w:bodyDiv w:val="1"/>
      <w:marLeft w:val="0"/>
      <w:marRight w:val="0"/>
      <w:marTop w:val="0"/>
      <w:marBottom w:val="0"/>
      <w:divBdr>
        <w:top w:val="none" w:sz="0" w:space="0" w:color="auto"/>
        <w:left w:val="none" w:sz="0" w:space="0" w:color="auto"/>
        <w:bottom w:val="none" w:sz="0" w:space="0" w:color="auto"/>
        <w:right w:val="none" w:sz="0" w:space="0" w:color="auto"/>
      </w:divBdr>
    </w:div>
    <w:div w:id="1720471764">
      <w:bodyDiv w:val="1"/>
      <w:marLeft w:val="0"/>
      <w:marRight w:val="0"/>
      <w:marTop w:val="0"/>
      <w:marBottom w:val="0"/>
      <w:divBdr>
        <w:top w:val="none" w:sz="0" w:space="0" w:color="auto"/>
        <w:left w:val="none" w:sz="0" w:space="0" w:color="auto"/>
        <w:bottom w:val="none" w:sz="0" w:space="0" w:color="auto"/>
        <w:right w:val="none" w:sz="0" w:space="0" w:color="auto"/>
      </w:divBdr>
    </w:div>
    <w:div w:id="2036728745">
      <w:bodyDiv w:val="1"/>
      <w:marLeft w:val="0"/>
      <w:marRight w:val="0"/>
      <w:marTop w:val="0"/>
      <w:marBottom w:val="0"/>
      <w:divBdr>
        <w:top w:val="none" w:sz="0" w:space="0" w:color="auto"/>
        <w:left w:val="none" w:sz="0" w:space="0" w:color="auto"/>
        <w:bottom w:val="none" w:sz="0" w:space="0" w:color="auto"/>
        <w:right w:val="none" w:sz="0" w:space="0" w:color="auto"/>
      </w:divBdr>
    </w:div>
    <w:div w:id="2086143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mis2020.government.bg/bg/s/800c457d-e8be-4421-8ed9-9e78d0a75c39/Procedure/Acti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mis2020.government.bg/bg/s/800c457d-e8be-4421-8ed9-9e78d0a75c39/Procedure/Active"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digital-strategy.ec.europa.eu/en/library/digital-decade-2024-country-report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oleObject" Target="embeddings/oleObject2.bin"/><Relationship Id="rId5" Type="http://schemas.openxmlformats.org/officeDocument/2006/relationships/image" Target="media/image4.png"/><Relationship Id="rId4"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oleObject" Target="embeddings/oleObject4.bin"/><Relationship Id="rId5" Type="http://schemas.openxmlformats.org/officeDocument/2006/relationships/image" Target="media/image4.png"/><Relationship Id="rId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8D3B39D431AB4FB0B8A3E07EF081A0" ma:contentTypeVersion="4" ma:contentTypeDescription="Create a new document." ma:contentTypeScope="" ma:versionID="11d882807d2003db74ffc5301247d11a">
  <xsd:schema xmlns:xsd="http://www.w3.org/2001/XMLSchema" xmlns:xs="http://www.w3.org/2001/XMLSchema" xmlns:p="http://schemas.microsoft.com/office/2006/metadata/properties" xmlns:ns2="0cc6d21d-6f8c-4f9d-b842-976da57ad692" targetNamespace="http://schemas.microsoft.com/office/2006/metadata/properties" ma:root="true" ma:fieldsID="92e313980aa35ab6bc6ae0923a63cd5a" ns2:_="">
    <xsd:import namespace="0cc6d21d-6f8c-4f9d-b842-976da57ad6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6d21d-6f8c-4f9d-b842-976da57ad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DA920-0AFC-4A50-B757-D8D00C71818E}">
  <ds:schemaRefs>
    <ds:schemaRef ds:uri="http://schemas.microsoft.com/sharepoint/v3/contenttype/forms"/>
  </ds:schemaRefs>
</ds:datastoreItem>
</file>

<file path=customXml/itemProps2.xml><?xml version="1.0" encoding="utf-8"?>
<ds:datastoreItem xmlns:ds="http://schemas.openxmlformats.org/officeDocument/2006/customXml" ds:itemID="{5E660F4D-B5CF-4C3C-995A-13011A1267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CD7FAB-BC9D-46BE-81C1-F7FA701C6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6d21d-6f8c-4f9d-b842-976da57ad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658CA-77CC-4679-ACF9-C8B079190FAA}">
  <ds:schemaRefs>
    <ds:schemaRef ds:uri="http://schemas.openxmlformats.org/officeDocument/2006/bibliography"/>
  </ds:schemaRefs>
</ds:datastoreItem>
</file>

<file path=docMetadata/LabelInfo.xml><?xml version="1.0" encoding="utf-8"?>
<clbl:labelList xmlns:clbl="http://schemas.microsoft.com/office/2020/mipLabelMetadata">
  <clbl:label id="{4891b122-2285-42c8-8e07-0f736e4bfda6}" enabled="0" method="" siteId="{4891b122-2285-42c8-8e07-0f736e4bfda6}" removed="1"/>
</clbl:labelList>
</file>

<file path=docProps/app.xml><?xml version="1.0" encoding="utf-8"?>
<Properties xmlns="http://schemas.openxmlformats.org/officeDocument/2006/extended-properties" xmlns:vt="http://schemas.openxmlformats.org/officeDocument/2006/docPropsVTypes">
  <Template>Normal</Template>
  <TotalTime>0</TotalTime>
  <Pages>65</Pages>
  <Words>16041</Words>
  <Characters>91437</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107264</CharactersWithSpaces>
  <SharedDoc>false</SharedDoc>
  <HLinks>
    <vt:vector size="300" baseType="variant">
      <vt:variant>
        <vt:i4>6684709</vt:i4>
      </vt:variant>
      <vt:variant>
        <vt:i4>213</vt:i4>
      </vt:variant>
      <vt:variant>
        <vt:i4>0</vt:i4>
      </vt:variant>
      <vt:variant>
        <vt:i4>5</vt:i4>
      </vt:variant>
      <vt:variant>
        <vt:lpwstr>https://eumis2020.government.bg/bg/s/800c457d-e8be-4421-8ed9-9e78d0a75c39/Procedure/Active</vt:lpwstr>
      </vt:variant>
      <vt:variant>
        <vt:lpwstr/>
      </vt:variant>
      <vt:variant>
        <vt:i4>6684709</vt:i4>
      </vt:variant>
      <vt:variant>
        <vt:i4>210</vt:i4>
      </vt:variant>
      <vt:variant>
        <vt:i4>0</vt:i4>
      </vt:variant>
      <vt:variant>
        <vt:i4>5</vt:i4>
      </vt:variant>
      <vt:variant>
        <vt:lpwstr>https://eumis2020.government.bg/bg/s/800c457d-e8be-4421-8ed9-9e78d0a75c39/Procedure/Active</vt:lpwstr>
      </vt:variant>
      <vt:variant>
        <vt:lpwstr/>
      </vt:variant>
      <vt:variant>
        <vt:i4>4980837</vt:i4>
      </vt:variant>
      <vt:variant>
        <vt:i4>207</vt:i4>
      </vt:variant>
      <vt:variant>
        <vt:i4>0</vt:i4>
      </vt:variant>
      <vt:variant>
        <vt:i4>5</vt:i4>
      </vt:variant>
      <vt:variant>
        <vt:lpwstr>https://finance.ec.europa.eu/eu-and-world/sanctions-restrictive-measures_en?prefLang=bg&amp;etrans=bg</vt:lpwstr>
      </vt:variant>
      <vt:variant>
        <vt:lpwstr/>
      </vt:variant>
      <vt:variant>
        <vt:i4>1048633</vt:i4>
      </vt:variant>
      <vt:variant>
        <vt:i4>200</vt:i4>
      </vt:variant>
      <vt:variant>
        <vt:i4>0</vt:i4>
      </vt:variant>
      <vt:variant>
        <vt:i4>5</vt:i4>
      </vt:variant>
      <vt:variant>
        <vt:lpwstr/>
      </vt:variant>
      <vt:variant>
        <vt:lpwstr>_Toc181285187</vt:lpwstr>
      </vt:variant>
      <vt:variant>
        <vt:i4>1048633</vt:i4>
      </vt:variant>
      <vt:variant>
        <vt:i4>194</vt:i4>
      </vt:variant>
      <vt:variant>
        <vt:i4>0</vt:i4>
      </vt:variant>
      <vt:variant>
        <vt:i4>5</vt:i4>
      </vt:variant>
      <vt:variant>
        <vt:lpwstr/>
      </vt:variant>
      <vt:variant>
        <vt:lpwstr>_Toc181285186</vt:lpwstr>
      </vt:variant>
      <vt:variant>
        <vt:i4>1048633</vt:i4>
      </vt:variant>
      <vt:variant>
        <vt:i4>188</vt:i4>
      </vt:variant>
      <vt:variant>
        <vt:i4>0</vt:i4>
      </vt:variant>
      <vt:variant>
        <vt:i4>5</vt:i4>
      </vt:variant>
      <vt:variant>
        <vt:lpwstr/>
      </vt:variant>
      <vt:variant>
        <vt:lpwstr>_Toc181285185</vt:lpwstr>
      </vt:variant>
      <vt:variant>
        <vt:i4>1048633</vt:i4>
      </vt:variant>
      <vt:variant>
        <vt:i4>182</vt:i4>
      </vt:variant>
      <vt:variant>
        <vt:i4>0</vt:i4>
      </vt:variant>
      <vt:variant>
        <vt:i4>5</vt:i4>
      </vt:variant>
      <vt:variant>
        <vt:lpwstr/>
      </vt:variant>
      <vt:variant>
        <vt:lpwstr>_Toc181285184</vt:lpwstr>
      </vt:variant>
      <vt:variant>
        <vt:i4>1048633</vt:i4>
      </vt:variant>
      <vt:variant>
        <vt:i4>176</vt:i4>
      </vt:variant>
      <vt:variant>
        <vt:i4>0</vt:i4>
      </vt:variant>
      <vt:variant>
        <vt:i4>5</vt:i4>
      </vt:variant>
      <vt:variant>
        <vt:lpwstr/>
      </vt:variant>
      <vt:variant>
        <vt:lpwstr>_Toc181285183</vt:lpwstr>
      </vt:variant>
      <vt:variant>
        <vt:i4>1048633</vt:i4>
      </vt:variant>
      <vt:variant>
        <vt:i4>170</vt:i4>
      </vt:variant>
      <vt:variant>
        <vt:i4>0</vt:i4>
      </vt:variant>
      <vt:variant>
        <vt:i4>5</vt:i4>
      </vt:variant>
      <vt:variant>
        <vt:lpwstr/>
      </vt:variant>
      <vt:variant>
        <vt:lpwstr>_Toc181285182</vt:lpwstr>
      </vt:variant>
      <vt:variant>
        <vt:i4>1048633</vt:i4>
      </vt:variant>
      <vt:variant>
        <vt:i4>164</vt:i4>
      </vt:variant>
      <vt:variant>
        <vt:i4>0</vt:i4>
      </vt:variant>
      <vt:variant>
        <vt:i4>5</vt:i4>
      </vt:variant>
      <vt:variant>
        <vt:lpwstr/>
      </vt:variant>
      <vt:variant>
        <vt:lpwstr>_Toc181285181</vt:lpwstr>
      </vt:variant>
      <vt:variant>
        <vt:i4>1048633</vt:i4>
      </vt:variant>
      <vt:variant>
        <vt:i4>158</vt:i4>
      </vt:variant>
      <vt:variant>
        <vt:i4>0</vt:i4>
      </vt:variant>
      <vt:variant>
        <vt:i4>5</vt:i4>
      </vt:variant>
      <vt:variant>
        <vt:lpwstr/>
      </vt:variant>
      <vt:variant>
        <vt:lpwstr>_Toc181285180</vt:lpwstr>
      </vt:variant>
      <vt:variant>
        <vt:i4>2031673</vt:i4>
      </vt:variant>
      <vt:variant>
        <vt:i4>152</vt:i4>
      </vt:variant>
      <vt:variant>
        <vt:i4>0</vt:i4>
      </vt:variant>
      <vt:variant>
        <vt:i4>5</vt:i4>
      </vt:variant>
      <vt:variant>
        <vt:lpwstr/>
      </vt:variant>
      <vt:variant>
        <vt:lpwstr>_Toc181285179</vt:lpwstr>
      </vt:variant>
      <vt:variant>
        <vt:i4>2031673</vt:i4>
      </vt:variant>
      <vt:variant>
        <vt:i4>146</vt:i4>
      </vt:variant>
      <vt:variant>
        <vt:i4>0</vt:i4>
      </vt:variant>
      <vt:variant>
        <vt:i4>5</vt:i4>
      </vt:variant>
      <vt:variant>
        <vt:lpwstr/>
      </vt:variant>
      <vt:variant>
        <vt:lpwstr>_Toc181285178</vt:lpwstr>
      </vt:variant>
      <vt:variant>
        <vt:i4>2031673</vt:i4>
      </vt:variant>
      <vt:variant>
        <vt:i4>140</vt:i4>
      </vt:variant>
      <vt:variant>
        <vt:i4>0</vt:i4>
      </vt:variant>
      <vt:variant>
        <vt:i4>5</vt:i4>
      </vt:variant>
      <vt:variant>
        <vt:lpwstr/>
      </vt:variant>
      <vt:variant>
        <vt:lpwstr>_Toc181285177</vt:lpwstr>
      </vt:variant>
      <vt:variant>
        <vt:i4>2031673</vt:i4>
      </vt:variant>
      <vt:variant>
        <vt:i4>134</vt:i4>
      </vt:variant>
      <vt:variant>
        <vt:i4>0</vt:i4>
      </vt:variant>
      <vt:variant>
        <vt:i4>5</vt:i4>
      </vt:variant>
      <vt:variant>
        <vt:lpwstr/>
      </vt:variant>
      <vt:variant>
        <vt:lpwstr>_Toc181285176</vt:lpwstr>
      </vt:variant>
      <vt:variant>
        <vt:i4>2031673</vt:i4>
      </vt:variant>
      <vt:variant>
        <vt:i4>128</vt:i4>
      </vt:variant>
      <vt:variant>
        <vt:i4>0</vt:i4>
      </vt:variant>
      <vt:variant>
        <vt:i4>5</vt:i4>
      </vt:variant>
      <vt:variant>
        <vt:lpwstr/>
      </vt:variant>
      <vt:variant>
        <vt:lpwstr>_Toc181285175</vt:lpwstr>
      </vt:variant>
      <vt:variant>
        <vt:i4>2031673</vt:i4>
      </vt:variant>
      <vt:variant>
        <vt:i4>122</vt:i4>
      </vt:variant>
      <vt:variant>
        <vt:i4>0</vt:i4>
      </vt:variant>
      <vt:variant>
        <vt:i4>5</vt:i4>
      </vt:variant>
      <vt:variant>
        <vt:lpwstr/>
      </vt:variant>
      <vt:variant>
        <vt:lpwstr>_Toc181285174</vt:lpwstr>
      </vt:variant>
      <vt:variant>
        <vt:i4>2031673</vt:i4>
      </vt:variant>
      <vt:variant>
        <vt:i4>116</vt:i4>
      </vt:variant>
      <vt:variant>
        <vt:i4>0</vt:i4>
      </vt:variant>
      <vt:variant>
        <vt:i4>5</vt:i4>
      </vt:variant>
      <vt:variant>
        <vt:lpwstr/>
      </vt:variant>
      <vt:variant>
        <vt:lpwstr>_Toc181285173</vt:lpwstr>
      </vt:variant>
      <vt:variant>
        <vt:i4>2031673</vt:i4>
      </vt:variant>
      <vt:variant>
        <vt:i4>110</vt:i4>
      </vt:variant>
      <vt:variant>
        <vt:i4>0</vt:i4>
      </vt:variant>
      <vt:variant>
        <vt:i4>5</vt:i4>
      </vt:variant>
      <vt:variant>
        <vt:lpwstr/>
      </vt:variant>
      <vt:variant>
        <vt:lpwstr>_Toc181285172</vt:lpwstr>
      </vt:variant>
      <vt:variant>
        <vt:i4>2031673</vt:i4>
      </vt:variant>
      <vt:variant>
        <vt:i4>104</vt:i4>
      </vt:variant>
      <vt:variant>
        <vt:i4>0</vt:i4>
      </vt:variant>
      <vt:variant>
        <vt:i4>5</vt:i4>
      </vt:variant>
      <vt:variant>
        <vt:lpwstr/>
      </vt:variant>
      <vt:variant>
        <vt:lpwstr>_Toc181285171</vt:lpwstr>
      </vt:variant>
      <vt:variant>
        <vt:i4>2031673</vt:i4>
      </vt:variant>
      <vt:variant>
        <vt:i4>98</vt:i4>
      </vt:variant>
      <vt:variant>
        <vt:i4>0</vt:i4>
      </vt:variant>
      <vt:variant>
        <vt:i4>5</vt:i4>
      </vt:variant>
      <vt:variant>
        <vt:lpwstr/>
      </vt:variant>
      <vt:variant>
        <vt:lpwstr>_Toc181285170</vt:lpwstr>
      </vt:variant>
      <vt:variant>
        <vt:i4>1966137</vt:i4>
      </vt:variant>
      <vt:variant>
        <vt:i4>92</vt:i4>
      </vt:variant>
      <vt:variant>
        <vt:i4>0</vt:i4>
      </vt:variant>
      <vt:variant>
        <vt:i4>5</vt:i4>
      </vt:variant>
      <vt:variant>
        <vt:lpwstr/>
      </vt:variant>
      <vt:variant>
        <vt:lpwstr>_Toc181285169</vt:lpwstr>
      </vt:variant>
      <vt:variant>
        <vt:i4>1966137</vt:i4>
      </vt:variant>
      <vt:variant>
        <vt:i4>86</vt:i4>
      </vt:variant>
      <vt:variant>
        <vt:i4>0</vt:i4>
      </vt:variant>
      <vt:variant>
        <vt:i4>5</vt:i4>
      </vt:variant>
      <vt:variant>
        <vt:lpwstr/>
      </vt:variant>
      <vt:variant>
        <vt:lpwstr>_Toc181285168</vt:lpwstr>
      </vt:variant>
      <vt:variant>
        <vt:i4>1966137</vt:i4>
      </vt:variant>
      <vt:variant>
        <vt:i4>80</vt:i4>
      </vt:variant>
      <vt:variant>
        <vt:i4>0</vt:i4>
      </vt:variant>
      <vt:variant>
        <vt:i4>5</vt:i4>
      </vt:variant>
      <vt:variant>
        <vt:lpwstr/>
      </vt:variant>
      <vt:variant>
        <vt:lpwstr>_Toc181285167</vt:lpwstr>
      </vt:variant>
      <vt:variant>
        <vt:i4>1966137</vt:i4>
      </vt:variant>
      <vt:variant>
        <vt:i4>74</vt:i4>
      </vt:variant>
      <vt:variant>
        <vt:i4>0</vt:i4>
      </vt:variant>
      <vt:variant>
        <vt:i4>5</vt:i4>
      </vt:variant>
      <vt:variant>
        <vt:lpwstr/>
      </vt:variant>
      <vt:variant>
        <vt:lpwstr>_Toc181285166</vt:lpwstr>
      </vt:variant>
      <vt:variant>
        <vt:i4>1966137</vt:i4>
      </vt:variant>
      <vt:variant>
        <vt:i4>68</vt:i4>
      </vt:variant>
      <vt:variant>
        <vt:i4>0</vt:i4>
      </vt:variant>
      <vt:variant>
        <vt:i4>5</vt:i4>
      </vt:variant>
      <vt:variant>
        <vt:lpwstr/>
      </vt:variant>
      <vt:variant>
        <vt:lpwstr>_Toc181285165</vt:lpwstr>
      </vt:variant>
      <vt:variant>
        <vt:i4>1966137</vt:i4>
      </vt:variant>
      <vt:variant>
        <vt:i4>62</vt:i4>
      </vt:variant>
      <vt:variant>
        <vt:i4>0</vt:i4>
      </vt:variant>
      <vt:variant>
        <vt:i4>5</vt:i4>
      </vt:variant>
      <vt:variant>
        <vt:lpwstr/>
      </vt:variant>
      <vt:variant>
        <vt:lpwstr>_Toc181285164</vt:lpwstr>
      </vt:variant>
      <vt:variant>
        <vt:i4>1966137</vt:i4>
      </vt:variant>
      <vt:variant>
        <vt:i4>56</vt:i4>
      </vt:variant>
      <vt:variant>
        <vt:i4>0</vt:i4>
      </vt:variant>
      <vt:variant>
        <vt:i4>5</vt:i4>
      </vt:variant>
      <vt:variant>
        <vt:lpwstr/>
      </vt:variant>
      <vt:variant>
        <vt:lpwstr>_Toc181285163</vt:lpwstr>
      </vt:variant>
      <vt:variant>
        <vt:i4>1966137</vt:i4>
      </vt:variant>
      <vt:variant>
        <vt:i4>50</vt:i4>
      </vt:variant>
      <vt:variant>
        <vt:i4>0</vt:i4>
      </vt:variant>
      <vt:variant>
        <vt:i4>5</vt:i4>
      </vt:variant>
      <vt:variant>
        <vt:lpwstr/>
      </vt:variant>
      <vt:variant>
        <vt:lpwstr>_Toc181285162</vt:lpwstr>
      </vt:variant>
      <vt:variant>
        <vt:i4>1966137</vt:i4>
      </vt:variant>
      <vt:variant>
        <vt:i4>44</vt:i4>
      </vt:variant>
      <vt:variant>
        <vt:i4>0</vt:i4>
      </vt:variant>
      <vt:variant>
        <vt:i4>5</vt:i4>
      </vt:variant>
      <vt:variant>
        <vt:lpwstr/>
      </vt:variant>
      <vt:variant>
        <vt:lpwstr>_Toc181285161</vt:lpwstr>
      </vt:variant>
      <vt:variant>
        <vt:i4>1966137</vt:i4>
      </vt:variant>
      <vt:variant>
        <vt:i4>38</vt:i4>
      </vt:variant>
      <vt:variant>
        <vt:i4>0</vt:i4>
      </vt:variant>
      <vt:variant>
        <vt:i4>5</vt:i4>
      </vt:variant>
      <vt:variant>
        <vt:lpwstr/>
      </vt:variant>
      <vt:variant>
        <vt:lpwstr>_Toc181285160</vt:lpwstr>
      </vt:variant>
      <vt:variant>
        <vt:i4>1900601</vt:i4>
      </vt:variant>
      <vt:variant>
        <vt:i4>32</vt:i4>
      </vt:variant>
      <vt:variant>
        <vt:i4>0</vt:i4>
      </vt:variant>
      <vt:variant>
        <vt:i4>5</vt:i4>
      </vt:variant>
      <vt:variant>
        <vt:lpwstr/>
      </vt:variant>
      <vt:variant>
        <vt:lpwstr>_Toc181285159</vt:lpwstr>
      </vt:variant>
      <vt:variant>
        <vt:i4>1900601</vt:i4>
      </vt:variant>
      <vt:variant>
        <vt:i4>26</vt:i4>
      </vt:variant>
      <vt:variant>
        <vt:i4>0</vt:i4>
      </vt:variant>
      <vt:variant>
        <vt:i4>5</vt:i4>
      </vt:variant>
      <vt:variant>
        <vt:lpwstr/>
      </vt:variant>
      <vt:variant>
        <vt:lpwstr>_Toc181285158</vt:lpwstr>
      </vt:variant>
      <vt:variant>
        <vt:i4>1900601</vt:i4>
      </vt:variant>
      <vt:variant>
        <vt:i4>20</vt:i4>
      </vt:variant>
      <vt:variant>
        <vt:i4>0</vt:i4>
      </vt:variant>
      <vt:variant>
        <vt:i4>5</vt:i4>
      </vt:variant>
      <vt:variant>
        <vt:lpwstr/>
      </vt:variant>
      <vt:variant>
        <vt:lpwstr>_Toc181285157</vt:lpwstr>
      </vt:variant>
      <vt:variant>
        <vt:i4>1900601</vt:i4>
      </vt:variant>
      <vt:variant>
        <vt:i4>14</vt:i4>
      </vt:variant>
      <vt:variant>
        <vt:i4>0</vt:i4>
      </vt:variant>
      <vt:variant>
        <vt:i4>5</vt:i4>
      </vt:variant>
      <vt:variant>
        <vt:lpwstr/>
      </vt:variant>
      <vt:variant>
        <vt:lpwstr>_Toc181285156</vt:lpwstr>
      </vt:variant>
      <vt:variant>
        <vt:i4>1900601</vt:i4>
      </vt:variant>
      <vt:variant>
        <vt:i4>8</vt:i4>
      </vt:variant>
      <vt:variant>
        <vt:i4>0</vt:i4>
      </vt:variant>
      <vt:variant>
        <vt:i4>5</vt:i4>
      </vt:variant>
      <vt:variant>
        <vt:lpwstr/>
      </vt:variant>
      <vt:variant>
        <vt:lpwstr>_Toc181285155</vt:lpwstr>
      </vt:variant>
      <vt:variant>
        <vt:i4>1900601</vt:i4>
      </vt:variant>
      <vt:variant>
        <vt:i4>2</vt:i4>
      </vt:variant>
      <vt:variant>
        <vt:i4>0</vt:i4>
      </vt:variant>
      <vt:variant>
        <vt:i4>5</vt:i4>
      </vt:variant>
      <vt:variant>
        <vt:lpwstr/>
      </vt:variant>
      <vt:variant>
        <vt:lpwstr>_Toc181285154</vt:lpwstr>
      </vt:variant>
      <vt:variant>
        <vt:i4>2031636</vt:i4>
      </vt:variant>
      <vt:variant>
        <vt:i4>0</vt:i4>
      </vt:variant>
      <vt:variant>
        <vt:i4>0</vt:i4>
      </vt:variant>
      <vt:variant>
        <vt:i4>5</vt:i4>
      </vt:variant>
      <vt:variant>
        <vt:lpwstr>https://digital-strategy.ec.europa.eu/en/library/digital-decade-2024-country-reports</vt:lpwstr>
      </vt:variant>
      <vt:variant>
        <vt:lpwstr/>
      </vt:variant>
      <vt:variant>
        <vt:i4>1441846</vt:i4>
      </vt:variant>
      <vt:variant>
        <vt:i4>33</vt:i4>
      </vt:variant>
      <vt:variant>
        <vt:i4>0</vt:i4>
      </vt:variant>
      <vt:variant>
        <vt:i4>5</vt:i4>
      </vt:variant>
      <vt:variant>
        <vt:lpwstr>mailto:ITumbev@cetinbg.bg</vt:lpwstr>
      </vt:variant>
      <vt:variant>
        <vt:lpwstr/>
      </vt:variant>
      <vt:variant>
        <vt:i4>1441846</vt:i4>
      </vt:variant>
      <vt:variant>
        <vt:i4>30</vt:i4>
      </vt:variant>
      <vt:variant>
        <vt:i4>0</vt:i4>
      </vt:variant>
      <vt:variant>
        <vt:i4>5</vt:i4>
      </vt:variant>
      <vt:variant>
        <vt:lpwstr>mailto:ITumbev@cetinbg.bg</vt:lpwstr>
      </vt:variant>
      <vt:variant>
        <vt:lpwstr/>
      </vt:variant>
      <vt:variant>
        <vt:i4>7274582</vt:i4>
      </vt:variant>
      <vt:variant>
        <vt:i4>27</vt:i4>
      </vt:variant>
      <vt:variant>
        <vt:i4>0</vt:i4>
      </vt:variant>
      <vt:variant>
        <vt:i4>5</vt:i4>
      </vt:variant>
      <vt:variant>
        <vt:lpwstr>mailto:ishahanov@cetinbg.bg</vt:lpwstr>
      </vt:variant>
      <vt:variant>
        <vt:lpwstr/>
      </vt:variant>
      <vt:variant>
        <vt:i4>7536714</vt:i4>
      </vt:variant>
      <vt:variant>
        <vt:i4>24</vt:i4>
      </vt:variant>
      <vt:variant>
        <vt:i4>0</vt:i4>
      </vt:variant>
      <vt:variant>
        <vt:i4>5</vt:i4>
      </vt:variant>
      <vt:variant>
        <vt:lpwstr>mailto:AKraev@cetinbg.bg</vt:lpwstr>
      </vt:variant>
      <vt:variant>
        <vt:lpwstr/>
      </vt:variant>
      <vt:variant>
        <vt:i4>7274582</vt:i4>
      </vt:variant>
      <vt:variant>
        <vt:i4>21</vt:i4>
      </vt:variant>
      <vt:variant>
        <vt:i4>0</vt:i4>
      </vt:variant>
      <vt:variant>
        <vt:i4>5</vt:i4>
      </vt:variant>
      <vt:variant>
        <vt:lpwstr>mailto:ishahanov@cetinbg.bg</vt:lpwstr>
      </vt:variant>
      <vt:variant>
        <vt:lpwstr/>
      </vt:variant>
      <vt:variant>
        <vt:i4>1441846</vt:i4>
      </vt:variant>
      <vt:variant>
        <vt:i4>18</vt:i4>
      </vt:variant>
      <vt:variant>
        <vt:i4>0</vt:i4>
      </vt:variant>
      <vt:variant>
        <vt:i4>5</vt:i4>
      </vt:variant>
      <vt:variant>
        <vt:lpwstr>mailto:ITumbev@cetinbg.bg</vt:lpwstr>
      </vt:variant>
      <vt:variant>
        <vt:lpwstr/>
      </vt:variant>
      <vt:variant>
        <vt:i4>7274582</vt:i4>
      </vt:variant>
      <vt:variant>
        <vt:i4>15</vt:i4>
      </vt:variant>
      <vt:variant>
        <vt:i4>0</vt:i4>
      </vt:variant>
      <vt:variant>
        <vt:i4>5</vt:i4>
      </vt:variant>
      <vt:variant>
        <vt:lpwstr>mailto:ishahanov@cetinbg.bg</vt:lpwstr>
      </vt:variant>
      <vt:variant>
        <vt:lpwstr/>
      </vt:variant>
      <vt:variant>
        <vt:i4>1441846</vt:i4>
      </vt:variant>
      <vt:variant>
        <vt:i4>12</vt:i4>
      </vt:variant>
      <vt:variant>
        <vt:i4>0</vt:i4>
      </vt:variant>
      <vt:variant>
        <vt:i4>5</vt:i4>
      </vt:variant>
      <vt:variant>
        <vt:lpwstr>mailto:ITumbev@cetinbg.bg</vt:lpwstr>
      </vt:variant>
      <vt:variant>
        <vt:lpwstr/>
      </vt:variant>
      <vt:variant>
        <vt:i4>7274582</vt:i4>
      </vt:variant>
      <vt:variant>
        <vt:i4>9</vt:i4>
      </vt:variant>
      <vt:variant>
        <vt:i4>0</vt:i4>
      </vt:variant>
      <vt:variant>
        <vt:i4>5</vt:i4>
      </vt:variant>
      <vt:variant>
        <vt:lpwstr>mailto:ishahanov@cetinbg.bg</vt:lpwstr>
      </vt:variant>
      <vt:variant>
        <vt:lpwstr/>
      </vt:variant>
      <vt:variant>
        <vt:i4>1441846</vt:i4>
      </vt:variant>
      <vt:variant>
        <vt:i4>6</vt:i4>
      </vt:variant>
      <vt:variant>
        <vt:i4>0</vt:i4>
      </vt:variant>
      <vt:variant>
        <vt:i4>5</vt:i4>
      </vt:variant>
      <vt:variant>
        <vt:lpwstr>mailto:ITumbev@cetinbg.bg</vt:lpwstr>
      </vt:variant>
      <vt:variant>
        <vt:lpwstr/>
      </vt:variant>
      <vt:variant>
        <vt:i4>1441846</vt:i4>
      </vt:variant>
      <vt:variant>
        <vt:i4>3</vt:i4>
      </vt:variant>
      <vt:variant>
        <vt:i4>0</vt:i4>
      </vt:variant>
      <vt:variant>
        <vt:i4>5</vt:i4>
      </vt:variant>
      <vt:variant>
        <vt:lpwstr>mailto:ITumbev@cetinbg.bg</vt:lpwstr>
      </vt:variant>
      <vt:variant>
        <vt:lpwstr/>
      </vt:variant>
      <vt:variant>
        <vt:i4>7274582</vt:i4>
      </vt:variant>
      <vt:variant>
        <vt:i4>0</vt:i4>
      </vt:variant>
      <vt:variant>
        <vt:i4>0</vt:i4>
      </vt:variant>
      <vt:variant>
        <vt:i4>5</vt:i4>
      </vt:variant>
      <vt:variant>
        <vt:lpwstr>mailto:ishahanov@cetinbg.bg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2024-11-14T15:38:00Z</cp:lastPrinted>
  <dcterms:created xsi:type="dcterms:W3CDTF">2024-12-03T08:50:00Z</dcterms:created>
  <dcterms:modified xsi:type="dcterms:W3CDTF">2024-12-03T08:50:00Z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0x010100358D3B39D431AB4FB0B8A3E07EF081A0</vt:lpwstr>
  </property>
  <property fmtid="{D5CDD505-2E9C-101B-9397-08002B2CF9AE}" pid="3" name="ClassificationContentMarkingHeaderShapeIds">
    <vt:lpwstr>25d503c0,603dc662,674fb0d7</vt:lpwstr>
  </property>
  <property fmtid="{D5CDD505-2E9C-101B-9397-08002B2CF9AE}" pid="4" name="ClassificationContentMarkingHeaderFontProps">
    <vt:lpwstr>#000000,10,Calibri</vt:lpwstr>
  </property>
  <property fmtid="{D5CDD505-2E9C-101B-9397-08002B2CF9AE}" pid="5" name="ClassificationContentMarkingHeaderText">
    <vt:lpwstr>Open</vt:lpwstr>
  </property>
  <property fmtid="{D5CDD505-2E9C-101B-9397-08002B2CF9AE}" pid="6" name="MSIP_Label_d0167c36-b4d5-4e4e-bd61-39632ce73ec8_Enabled">
    <vt:lpwstr>true</vt:lpwstr>
  </property>
  <property fmtid="{D5CDD505-2E9C-101B-9397-08002B2CF9AE}" pid="7" name="MSIP_Label_d0167c36-b4d5-4e4e-bd61-39632ce73ec8_SetDate">
    <vt:lpwstr>2024-11-04T11:22:29Z</vt:lpwstr>
  </property>
  <property fmtid="{D5CDD505-2E9C-101B-9397-08002B2CF9AE}" pid="8" name="MSIP_Label_d0167c36-b4d5-4e4e-bd61-39632ce73ec8_Method">
    <vt:lpwstr>Privileged</vt:lpwstr>
  </property>
  <property fmtid="{D5CDD505-2E9C-101B-9397-08002B2CF9AE}" pid="9" name="MSIP_Label_d0167c36-b4d5-4e4e-bd61-39632ce73ec8_Name">
    <vt:lpwstr>Open</vt:lpwstr>
  </property>
  <property fmtid="{D5CDD505-2E9C-101B-9397-08002B2CF9AE}" pid="10" name="MSIP_Label_d0167c36-b4d5-4e4e-bd61-39632ce73ec8_SiteId">
    <vt:lpwstr>169bbd4f-4054-49cd-a5c7-0244ab23e3a8</vt:lpwstr>
  </property>
  <property fmtid="{D5CDD505-2E9C-101B-9397-08002B2CF9AE}" pid="11" name="MSIP_Label_d0167c36-b4d5-4e4e-bd61-39632ce73ec8_ActionId">
    <vt:lpwstr>796c37a9-a68c-4bd9-bf10-e7cd95c5b1e6</vt:lpwstr>
  </property>
  <property fmtid="{D5CDD505-2E9C-101B-9397-08002B2CF9AE}" pid="12" name="MSIP_Label_d0167c36-b4d5-4e4e-bd61-39632ce73ec8_ContentBits">
    <vt:lpwstr>1</vt:lpwstr>
  </property>
</Properties>
</file>