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23" w:rsidRDefault="004B5823"/>
    <w:p w:rsidR="00884CAC" w:rsidRDefault="00884CAC"/>
    <w:tbl>
      <w:tblPr>
        <w:tblStyle w:val="TableGrid"/>
        <w:tblW w:w="0" w:type="auto"/>
        <w:tblLayout w:type="fixed"/>
        <w:tblLook w:val="04A0" w:firstRow="1" w:lastRow="0" w:firstColumn="1" w:lastColumn="0" w:noHBand="0" w:noVBand="1"/>
      </w:tblPr>
      <w:tblGrid>
        <w:gridCol w:w="1296"/>
        <w:gridCol w:w="1927"/>
        <w:gridCol w:w="5986"/>
        <w:gridCol w:w="4785"/>
      </w:tblGrid>
      <w:tr w:rsidR="00884CAC" w:rsidRPr="00A616AC" w:rsidTr="00A616AC">
        <w:tc>
          <w:tcPr>
            <w:tcW w:w="1296" w:type="dxa"/>
          </w:tcPr>
          <w:p w:rsidR="00884CAC" w:rsidRPr="00A616AC" w:rsidRDefault="00884CAC" w:rsidP="00A616AC">
            <w:pPr>
              <w:jc w:val="center"/>
              <w:rPr>
                <w:rFonts w:ascii="Times New Roman" w:hAnsi="Times New Roman" w:cs="Times New Roman"/>
                <w:b/>
                <w:sz w:val="24"/>
                <w:szCs w:val="24"/>
              </w:rPr>
            </w:pPr>
            <w:r w:rsidRPr="00A616AC">
              <w:rPr>
                <w:rFonts w:ascii="Times New Roman" w:hAnsi="Times New Roman" w:cs="Times New Roman"/>
                <w:b/>
                <w:sz w:val="24"/>
                <w:szCs w:val="24"/>
              </w:rPr>
              <w:t>Дата</w:t>
            </w:r>
          </w:p>
        </w:tc>
        <w:tc>
          <w:tcPr>
            <w:tcW w:w="1927" w:type="dxa"/>
          </w:tcPr>
          <w:p w:rsidR="00884CAC" w:rsidRPr="00A616AC" w:rsidRDefault="00884CAC" w:rsidP="00A616AC">
            <w:pPr>
              <w:jc w:val="center"/>
              <w:rPr>
                <w:rFonts w:ascii="Times New Roman" w:hAnsi="Times New Roman" w:cs="Times New Roman"/>
                <w:b/>
                <w:sz w:val="24"/>
                <w:szCs w:val="24"/>
              </w:rPr>
            </w:pPr>
            <w:r w:rsidRPr="00A616AC">
              <w:rPr>
                <w:rFonts w:ascii="Times New Roman" w:hAnsi="Times New Roman" w:cs="Times New Roman"/>
                <w:b/>
                <w:sz w:val="24"/>
                <w:szCs w:val="24"/>
              </w:rPr>
              <w:t xml:space="preserve">Рег. </w:t>
            </w:r>
            <w:r w:rsidR="00BC5045" w:rsidRPr="00A616AC">
              <w:rPr>
                <w:rFonts w:ascii="Times New Roman" w:hAnsi="Times New Roman" w:cs="Times New Roman"/>
                <w:b/>
                <w:sz w:val="24"/>
                <w:szCs w:val="24"/>
              </w:rPr>
              <w:t>номер</w:t>
            </w:r>
          </w:p>
        </w:tc>
        <w:tc>
          <w:tcPr>
            <w:tcW w:w="5986" w:type="dxa"/>
          </w:tcPr>
          <w:p w:rsidR="00884CAC" w:rsidRPr="00A616AC" w:rsidRDefault="00884CAC" w:rsidP="00A616AC">
            <w:pPr>
              <w:jc w:val="center"/>
              <w:rPr>
                <w:rFonts w:ascii="Times New Roman" w:hAnsi="Times New Roman" w:cs="Times New Roman"/>
                <w:b/>
                <w:sz w:val="24"/>
                <w:szCs w:val="24"/>
              </w:rPr>
            </w:pPr>
            <w:r w:rsidRPr="00A616AC">
              <w:rPr>
                <w:rFonts w:ascii="Times New Roman" w:hAnsi="Times New Roman" w:cs="Times New Roman"/>
                <w:b/>
                <w:sz w:val="24"/>
                <w:szCs w:val="24"/>
              </w:rPr>
              <w:t>Коментар/ предложение</w:t>
            </w:r>
          </w:p>
        </w:tc>
        <w:tc>
          <w:tcPr>
            <w:tcW w:w="4785" w:type="dxa"/>
          </w:tcPr>
          <w:p w:rsidR="00884CAC" w:rsidRPr="00A616AC" w:rsidRDefault="00884CAC" w:rsidP="00A616AC">
            <w:pPr>
              <w:jc w:val="center"/>
              <w:rPr>
                <w:rFonts w:ascii="Times New Roman" w:hAnsi="Times New Roman" w:cs="Times New Roman"/>
                <w:b/>
                <w:sz w:val="24"/>
                <w:szCs w:val="24"/>
              </w:rPr>
            </w:pPr>
            <w:r w:rsidRPr="00A616AC">
              <w:rPr>
                <w:rFonts w:ascii="Times New Roman" w:hAnsi="Times New Roman" w:cs="Times New Roman"/>
                <w:b/>
                <w:sz w:val="24"/>
                <w:szCs w:val="24"/>
              </w:rPr>
              <w:t>Становище на СНД</w:t>
            </w:r>
            <w:r w:rsidR="00BC5045" w:rsidRPr="00A616AC">
              <w:rPr>
                <w:rFonts w:ascii="Times New Roman" w:hAnsi="Times New Roman" w:cs="Times New Roman"/>
                <w:b/>
                <w:sz w:val="24"/>
                <w:szCs w:val="24"/>
              </w:rPr>
              <w:t>/МТС</w:t>
            </w:r>
          </w:p>
        </w:tc>
      </w:tr>
      <w:tr w:rsidR="009428F5" w:rsidRPr="00A616AC" w:rsidTr="00A616AC">
        <w:tc>
          <w:tcPr>
            <w:tcW w:w="1296" w:type="dxa"/>
            <w:vMerge w:val="restart"/>
          </w:tcPr>
          <w:p w:rsidR="009428F5" w:rsidRPr="00A616AC" w:rsidRDefault="009428F5">
            <w:pPr>
              <w:rPr>
                <w:rFonts w:ascii="Times New Roman" w:hAnsi="Times New Roman" w:cs="Times New Roman"/>
                <w:sz w:val="24"/>
                <w:szCs w:val="24"/>
              </w:rPr>
            </w:pPr>
            <w:r w:rsidRPr="00A616AC">
              <w:rPr>
                <w:rFonts w:ascii="Times New Roman" w:hAnsi="Times New Roman" w:cs="Times New Roman"/>
                <w:color w:val="333333"/>
                <w:sz w:val="24"/>
                <w:szCs w:val="24"/>
                <w:shd w:val="clear" w:color="auto" w:fill="FFFFFF"/>
              </w:rPr>
              <w:t>03.01.2025</w:t>
            </w:r>
          </w:p>
        </w:tc>
        <w:tc>
          <w:tcPr>
            <w:tcW w:w="1927" w:type="dxa"/>
            <w:vMerge w:val="restart"/>
          </w:tcPr>
          <w:p w:rsidR="009428F5" w:rsidRPr="00A616AC" w:rsidRDefault="009428F5">
            <w:pPr>
              <w:rPr>
                <w:rFonts w:ascii="Times New Roman" w:hAnsi="Times New Roman" w:cs="Times New Roman"/>
                <w:sz w:val="24"/>
                <w:szCs w:val="24"/>
              </w:rPr>
            </w:pPr>
            <w:r w:rsidRPr="00A616AC">
              <w:rPr>
                <w:rFonts w:ascii="Times New Roman" w:hAnsi="Times New Roman" w:cs="Times New Roman"/>
                <w:color w:val="333333"/>
                <w:sz w:val="24"/>
                <w:szCs w:val="24"/>
                <w:shd w:val="clear" w:color="auto" w:fill="FFFFFF"/>
              </w:rPr>
              <w:t>BG-RRP-7.008-COM1</w:t>
            </w:r>
          </w:p>
        </w:tc>
        <w:tc>
          <w:tcPr>
            <w:tcW w:w="5986" w:type="dxa"/>
          </w:tcPr>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 xml:space="preserve">До </w:t>
            </w: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Министерство на транспорта и съобщенията,</w:t>
            </w: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Структура за наблюдение и докладване (СНД)</w:t>
            </w: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по Инвестиция 1 „Широкомащабно разгръщане на цифрова инфраструктура на територията на България“ от Компонент 7 „Цифрова свързаност“ от Националния план за възстановяване и устойчивост (НПВУ)</w:t>
            </w: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Относно: Обществено обсъждане на проект на процедура BG-RRP-7.008 - Широкомащабно разгръщане на цифрова инфраструктура на територията на България</w:t>
            </w:r>
          </w:p>
          <w:p w:rsidR="009428F5" w:rsidRPr="00A616AC" w:rsidRDefault="009428F5" w:rsidP="00884CAC">
            <w:pPr>
              <w:rPr>
                <w:rFonts w:ascii="Times New Roman" w:hAnsi="Times New Roman" w:cs="Times New Roman"/>
                <w:sz w:val="24"/>
                <w:szCs w:val="24"/>
              </w:rPr>
            </w:pP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 xml:space="preserve">УВАЖАЕМИ ГОСПОЖИ И ГОСПОДА, </w:t>
            </w: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 xml:space="preserve">С настоящото представяме позицията на „Виваком България“ ЕАД („Виваком“) по проекта на процедура BG-RRP-7.008 - Широкомащабно разгръщане на цифрова инфраструктура на територията на България („Процедурата“), публикуван за обществено обсъждане на сайта на Информационната система за управление и наблюдение на средствата от ЕС в България 2020 (ИСУН 2020 (government.bg)). </w:t>
            </w: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Предложенията на Виваком по отделните документи от Процедурата са следните:</w:t>
            </w: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1.</w:t>
            </w:r>
            <w:r w:rsidRPr="00A616AC">
              <w:rPr>
                <w:rFonts w:ascii="Times New Roman" w:hAnsi="Times New Roman" w:cs="Times New Roman"/>
                <w:sz w:val="24"/>
                <w:szCs w:val="24"/>
              </w:rPr>
              <w:tab/>
              <w:t>По документ Условия за кандидатстване за получаване на безвъзмездни средства по процедура чрез подбор за изпълнение на инвестиции от крайни получатели („Условия за кандидатстване“)</w:t>
            </w: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1.1.</w:t>
            </w:r>
            <w:r w:rsidRPr="00A616AC">
              <w:rPr>
                <w:rFonts w:ascii="Times New Roman" w:hAnsi="Times New Roman" w:cs="Times New Roman"/>
                <w:sz w:val="24"/>
                <w:szCs w:val="24"/>
              </w:rPr>
              <w:tab/>
              <w:t>В Раздел 4 „Териториален обхват“:</w:t>
            </w: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lastRenderedPageBreak/>
              <w:t>1.1.1.</w:t>
            </w:r>
            <w:r w:rsidRPr="00A616AC">
              <w:rPr>
                <w:rFonts w:ascii="Times New Roman" w:hAnsi="Times New Roman" w:cs="Times New Roman"/>
                <w:sz w:val="24"/>
                <w:szCs w:val="24"/>
              </w:rPr>
              <w:tab/>
              <w:t xml:space="preserve">Предложение за изменение на текста „Целевите райони за интервенция, в т.ч. населените места, в които следва да се осигури свързаност, са подробно описани в Приложение 12. Списъкът с Приложение 12 е приоритетен, но не е изчерпателен и </w:t>
            </w:r>
            <w:proofErr w:type="spellStart"/>
            <w:r w:rsidRPr="00A616AC">
              <w:rPr>
                <w:rFonts w:ascii="Times New Roman" w:hAnsi="Times New Roman" w:cs="Times New Roman"/>
                <w:sz w:val="24"/>
                <w:szCs w:val="24"/>
              </w:rPr>
              <w:t>бенефициерът</w:t>
            </w:r>
            <w:proofErr w:type="spellEnd"/>
            <w:r w:rsidRPr="00A616AC">
              <w:rPr>
                <w:rFonts w:ascii="Times New Roman" w:hAnsi="Times New Roman" w:cs="Times New Roman"/>
                <w:sz w:val="24"/>
                <w:szCs w:val="24"/>
              </w:rPr>
              <w:t xml:space="preserve"> може да включи и допълнителни населени места, които да гарантират по-голямо покритие на населението (като абсолютен брой жители).“ </w:t>
            </w: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 xml:space="preserve">Предлагаме следната редакция: Целевите райони за интервенция, в т.ч. населените места, в които следва да се осигури свързаност, са подробно описани в Приложение 12. Списъкът с Приложение 12 е приоритетен, но е индикативен и не е изчерпателен, като в проектното си предложение </w:t>
            </w:r>
            <w:proofErr w:type="spellStart"/>
            <w:r w:rsidRPr="00A616AC">
              <w:rPr>
                <w:rFonts w:ascii="Times New Roman" w:hAnsi="Times New Roman" w:cs="Times New Roman"/>
                <w:sz w:val="24"/>
                <w:szCs w:val="24"/>
              </w:rPr>
              <w:t>бенефициерът</w:t>
            </w:r>
            <w:proofErr w:type="spellEnd"/>
            <w:r w:rsidRPr="00A616AC">
              <w:rPr>
                <w:rFonts w:ascii="Times New Roman" w:hAnsi="Times New Roman" w:cs="Times New Roman"/>
                <w:sz w:val="24"/>
                <w:szCs w:val="24"/>
              </w:rPr>
              <w:t xml:space="preserve"> може да изключи определени населени места и/или да включи допълнителни населени места, които да гарантират по-голямо покритие на населението (като абсолютен брой жители).</w:t>
            </w:r>
          </w:p>
          <w:p w:rsidR="009428F5" w:rsidRPr="00A616AC" w:rsidRDefault="009428F5" w:rsidP="00884CAC">
            <w:pPr>
              <w:rPr>
                <w:rFonts w:ascii="Times New Roman" w:hAnsi="Times New Roman" w:cs="Times New Roman"/>
                <w:sz w:val="24"/>
                <w:szCs w:val="24"/>
              </w:rPr>
            </w:pPr>
            <w:r w:rsidRPr="00A616AC">
              <w:rPr>
                <w:rFonts w:ascii="Times New Roman" w:hAnsi="Times New Roman" w:cs="Times New Roman"/>
                <w:sz w:val="24"/>
                <w:szCs w:val="24"/>
              </w:rPr>
              <w:t xml:space="preserve">Мотиви: В Условията за кандидатстване е предвидено, че при фактическа невъзможност да бъде покрито дадено населено място от Приложение 12, </w:t>
            </w:r>
            <w:proofErr w:type="spellStart"/>
            <w:r w:rsidRPr="00A616AC">
              <w:rPr>
                <w:rFonts w:ascii="Times New Roman" w:hAnsi="Times New Roman" w:cs="Times New Roman"/>
                <w:sz w:val="24"/>
                <w:szCs w:val="24"/>
              </w:rPr>
              <w:t>бенефициерът</w:t>
            </w:r>
            <w:proofErr w:type="spellEnd"/>
            <w:r w:rsidRPr="00A616AC">
              <w:rPr>
                <w:rFonts w:ascii="Times New Roman" w:hAnsi="Times New Roman" w:cs="Times New Roman"/>
                <w:sz w:val="24"/>
                <w:szCs w:val="24"/>
              </w:rPr>
              <w:t xml:space="preserve"> е длъжен своевременно да уведоми СНД като предложи алтернативно населено място със съпоставим брой жители. Искането за промяна следва да бъде обосновано, да не се отразява съществено върху общите цели на проекта и следва да бъде предварително одобрено от СНД. Предвид изключително кратките срокове за реализация на проекта, би било в интерес на успешното постигане на стратегическите цели подобни искания за промяна да бъдат направени на възможно най-ранен етап, а именно със самите проектни предложения, като становището </w:t>
            </w:r>
            <w:r w:rsidRPr="00A616AC">
              <w:rPr>
                <w:rFonts w:ascii="Times New Roman" w:hAnsi="Times New Roman" w:cs="Times New Roman"/>
                <w:sz w:val="24"/>
                <w:szCs w:val="24"/>
              </w:rPr>
              <w:lastRenderedPageBreak/>
              <w:t xml:space="preserve">на СНД би могло да се предостави в процеса </w:t>
            </w:r>
            <w:r>
              <w:rPr>
                <w:rFonts w:ascii="Times New Roman" w:hAnsi="Times New Roman" w:cs="Times New Roman"/>
                <w:sz w:val="24"/>
                <w:szCs w:val="24"/>
              </w:rPr>
              <w:t xml:space="preserve">на оценяване на предложението. </w:t>
            </w:r>
          </w:p>
          <w:p w:rsidR="009428F5" w:rsidRPr="00A616AC" w:rsidRDefault="009428F5" w:rsidP="00AF3779">
            <w:pPr>
              <w:rPr>
                <w:rFonts w:ascii="Times New Roman" w:hAnsi="Times New Roman" w:cs="Times New Roman"/>
                <w:sz w:val="24"/>
                <w:szCs w:val="24"/>
              </w:rPr>
            </w:pPr>
          </w:p>
        </w:tc>
        <w:tc>
          <w:tcPr>
            <w:tcW w:w="4785" w:type="dxa"/>
          </w:tcPr>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Default="009428F5">
            <w:pPr>
              <w:rPr>
                <w:rFonts w:ascii="Times New Roman" w:hAnsi="Times New Roman" w:cs="Times New Roman"/>
                <w:sz w:val="24"/>
                <w:szCs w:val="24"/>
              </w:rPr>
            </w:pPr>
          </w:p>
          <w:p w:rsidR="009428F5" w:rsidRPr="00A616AC" w:rsidRDefault="009428F5">
            <w:pPr>
              <w:rPr>
                <w:rFonts w:ascii="Times New Roman" w:hAnsi="Times New Roman" w:cs="Times New Roman"/>
                <w:sz w:val="24"/>
                <w:szCs w:val="24"/>
              </w:rPr>
            </w:pPr>
            <w:r w:rsidRPr="00F242AC">
              <w:rPr>
                <w:rFonts w:ascii="Times New Roman" w:hAnsi="Times New Roman" w:cs="Times New Roman"/>
                <w:sz w:val="24"/>
                <w:szCs w:val="24"/>
              </w:rPr>
              <w:lastRenderedPageBreak/>
              <w:t>Не се приема. Списъкът с населени места е резултат от извършеното детайлно картографиране. СНД е определило списък с населени места, към който кандидатът следва да се придържа, тъй като това определя успешното изпълнение на заложените етапи и цели по МВУ. Подкрепяме изложеното становище, че исканите промени следва да бъдат направени на възможно най-ранен етап и в тази връзка бе и предоставената възможност за коментари по списъка с населени места в рамките на проведеното обществено обсъждане с резултатите от картографирането. В случай че е необходима промяна, СНД ще реагира максимално експедитивно в рамките на посочения срок от 5 работни дни.</w:t>
            </w:r>
          </w:p>
        </w:tc>
      </w:tr>
      <w:tr w:rsidR="009428F5" w:rsidRPr="00A616AC" w:rsidTr="00A616AC">
        <w:tc>
          <w:tcPr>
            <w:tcW w:w="1296" w:type="dxa"/>
            <w:vMerge/>
          </w:tcPr>
          <w:p w:rsidR="009428F5" w:rsidRPr="00A616AC" w:rsidRDefault="009428F5">
            <w:pPr>
              <w:rPr>
                <w:rFonts w:ascii="Times New Roman" w:hAnsi="Times New Roman" w:cs="Times New Roman"/>
                <w:color w:val="333333"/>
                <w:sz w:val="24"/>
                <w:szCs w:val="24"/>
                <w:shd w:val="clear" w:color="auto" w:fill="FFFFFF"/>
              </w:rPr>
            </w:pPr>
          </w:p>
        </w:tc>
        <w:tc>
          <w:tcPr>
            <w:tcW w:w="1927" w:type="dxa"/>
            <w:vMerge/>
          </w:tcPr>
          <w:p w:rsidR="009428F5" w:rsidRPr="00A616AC" w:rsidRDefault="009428F5">
            <w:pPr>
              <w:rPr>
                <w:rFonts w:ascii="Times New Roman" w:hAnsi="Times New Roman" w:cs="Times New Roman"/>
                <w:color w:val="333333"/>
                <w:sz w:val="24"/>
                <w:szCs w:val="24"/>
                <w:shd w:val="clear" w:color="auto" w:fill="FFFFFF"/>
              </w:rPr>
            </w:pPr>
          </w:p>
        </w:tc>
        <w:tc>
          <w:tcPr>
            <w:tcW w:w="5986" w:type="dxa"/>
          </w:tcPr>
          <w:p w:rsidR="009428F5" w:rsidRPr="00A616AC" w:rsidRDefault="009428F5" w:rsidP="00F242AC">
            <w:pPr>
              <w:rPr>
                <w:rFonts w:ascii="Times New Roman" w:hAnsi="Times New Roman" w:cs="Times New Roman"/>
                <w:sz w:val="24"/>
                <w:szCs w:val="24"/>
              </w:rPr>
            </w:pPr>
            <w:r w:rsidRPr="00A616AC">
              <w:rPr>
                <w:rFonts w:ascii="Times New Roman" w:hAnsi="Times New Roman" w:cs="Times New Roman"/>
                <w:sz w:val="24"/>
                <w:szCs w:val="24"/>
              </w:rPr>
              <w:t>1.1.2.</w:t>
            </w:r>
            <w:r w:rsidRPr="00A616AC">
              <w:rPr>
                <w:rFonts w:ascii="Times New Roman" w:hAnsi="Times New Roman" w:cs="Times New Roman"/>
                <w:sz w:val="24"/>
                <w:szCs w:val="24"/>
              </w:rPr>
              <w:tab/>
              <w:t xml:space="preserve">Посочено е, че в Приложение 12 са описани оптималните трасета за нуждите на държавната мрежа. Предлагаме текстът да се измени в посока, че са посочени началната и крайната точка на оптималните трасета. </w:t>
            </w:r>
          </w:p>
          <w:p w:rsidR="009428F5" w:rsidRPr="00A616AC" w:rsidRDefault="009428F5" w:rsidP="00F242AC">
            <w:pPr>
              <w:rPr>
                <w:rFonts w:ascii="Times New Roman" w:hAnsi="Times New Roman" w:cs="Times New Roman"/>
                <w:sz w:val="24"/>
                <w:szCs w:val="24"/>
              </w:rPr>
            </w:pPr>
            <w:r w:rsidRPr="00A616AC">
              <w:rPr>
                <w:rFonts w:ascii="Times New Roman" w:hAnsi="Times New Roman" w:cs="Times New Roman"/>
                <w:sz w:val="24"/>
                <w:szCs w:val="24"/>
              </w:rPr>
              <w:t>Мотиви: Предложението цели постигане на съответствие със съдържанието на Приложение 12, в което са предвидени географски координати на начална и крайна точка на оптималните трасета, а самите трасета са предмет на предложенията на самите кандидати.</w:t>
            </w:r>
          </w:p>
          <w:p w:rsidR="009428F5" w:rsidRPr="00A616AC" w:rsidRDefault="009428F5" w:rsidP="00884CAC">
            <w:pPr>
              <w:rPr>
                <w:rFonts w:ascii="Times New Roman" w:hAnsi="Times New Roman" w:cs="Times New Roman"/>
                <w:sz w:val="24"/>
                <w:szCs w:val="24"/>
              </w:rPr>
            </w:pPr>
          </w:p>
        </w:tc>
        <w:tc>
          <w:tcPr>
            <w:tcW w:w="4785" w:type="dxa"/>
          </w:tcPr>
          <w:p w:rsidR="009428F5" w:rsidRPr="00A616AC" w:rsidRDefault="009428F5">
            <w:pPr>
              <w:rPr>
                <w:rFonts w:ascii="Times New Roman" w:hAnsi="Times New Roman" w:cs="Times New Roman"/>
                <w:sz w:val="24"/>
                <w:szCs w:val="24"/>
              </w:rPr>
            </w:pPr>
            <w:r w:rsidRPr="00F242AC">
              <w:rPr>
                <w:rFonts w:ascii="Times New Roman" w:hAnsi="Times New Roman" w:cs="Times New Roman"/>
                <w:sz w:val="24"/>
                <w:szCs w:val="24"/>
              </w:rPr>
              <w:t>Приема се.</w:t>
            </w:r>
          </w:p>
        </w:tc>
      </w:tr>
      <w:tr w:rsidR="009428F5" w:rsidRPr="00A616AC" w:rsidTr="00A616AC">
        <w:tc>
          <w:tcPr>
            <w:tcW w:w="1296" w:type="dxa"/>
            <w:vMerge/>
          </w:tcPr>
          <w:p w:rsidR="009428F5" w:rsidRPr="00A616AC" w:rsidRDefault="009428F5">
            <w:pPr>
              <w:rPr>
                <w:rFonts w:ascii="Times New Roman" w:hAnsi="Times New Roman" w:cs="Times New Roman"/>
                <w:color w:val="333333"/>
                <w:sz w:val="24"/>
                <w:szCs w:val="24"/>
                <w:shd w:val="clear" w:color="auto" w:fill="FFFFFF"/>
              </w:rPr>
            </w:pPr>
          </w:p>
        </w:tc>
        <w:tc>
          <w:tcPr>
            <w:tcW w:w="1927" w:type="dxa"/>
            <w:vMerge/>
          </w:tcPr>
          <w:p w:rsidR="009428F5" w:rsidRPr="00A616AC" w:rsidRDefault="009428F5">
            <w:pPr>
              <w:rPr>
                <w:rFonts w:ascii="Times New Roman" w:hAnsi="Times New Roman" w:cs="Times New Roman"/>
                <w:color w:val="333333"/>
                <w:sz w:val="24"/>
                <w:szCs w:val="24"/>
                <w:shd w:val="clear" w:color="auto" w:fill="FFFFFF"/>
              </w:rPr>
            </w:pPr>
          </w:p>
        </w:tc>
        <w:tc>
          <w:tcPr>
            <w:tcW w:w="5986" w:type="dxa"/>
          </w:tcPr>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1.1.3.</w:t>
            </w:r>
            <w:r w:rsidRPr="00A616AC">
              <w:rPr>
                <w:rFonts w:ascii="Times New Roman" w:hAnsi="Times New Roman" w:cs="Times New Roman"/>
                <w:sz w:val="24"/>
                <w:szCs w:val="24"/>
              </w:rPr>
              <w:tab/>
              <w:t xml:space="preserve">В приложение 12 са посочени 36 броя населени места, където към датата на публикуване на Процедурата за обществено обсъждане вече има осигурено покритие повече от 1000 </w:t>
            </w:r>
            <w:proofErr w:type="spellStart"/>
            <w:r w:rsidRPr="00A616AC">
              <w:rPr>
                <w:rFonts w:ascii="Times New Roman" w:hAnsi="Times New Roman" w:cs="Times New Roman"/>
                <w:sz w:val="24"/>
                <w:szCs w:val="24"/>
              </w:rPr>
              <w:t>Mbps</w:t>
            </w:r>
            <w:proofErr w:type="spellEnd"/>
            <w:r w:rsidRPr="00A616AC">
              <w:rPr>
                <w:rFonts w:ascii="Times New Roman" w:hAnsi="Times New Roman" w:cs="Times New Roman"/>
                <w:sz w:val="24"/>
                <w:szCs w:val="24"/>
              </w:rPr>
              <w:t xml:space="preserve"> в резултат на реализираната от Виваком инвестиционна програма. Към датата на стартиране на Процедурата тези населени места не могат да бъдат характеризирани като бели зони, поради което предлагаме следните населени места да бъдат изключени от целевите райони за интервенция по приложение 12.</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Северозападен район:</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№2_Арчар_Общ.Димово_Обл.Видин_EKATE_672_Население_2191</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№28_Гложене_Общ.Козлодуй_Обл.Враца_EKATE_18505_Население_2327</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№41_Дреновец_Общ.Ружинци_Обл.Видин_EKATE_23672_Население_1078</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lastRenderedPageBreak/>
              <w:t>№43_Дунавци_Общ.Видин_Обл.Видин_EKATE_24061_Население_1753</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№51_Коиловци_Общ.Плевен_Обл.Плевен_EKATE_37856_Население_800</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№52_Койнаре_Общ.Червен бряг_Обл.Плевен_EKATE_37863_Население_3050</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№81_Радомирци_Общ.Червен бряг_Обл.Плевен_EKATE_61580_Население_1186</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№100_Хърлец_Общ.Козлодуй_Обл.Враца_EKATE_77548_Население_1687</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Северен централен район:</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№4_Борисово_Общ.Сливо поле_Обл.Русе_EKATE_5517_Население_850</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№7_Брестовене_Общ.Завет_Обл.Разград_EKATE_6481_Население_2279</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№14_Дебелец_Общ.В.Търново_Обл.В.Търново_EKATE_20242_Население_3603</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№23_Ново село_Общ.Русе_Обл.Русе_EKATE_52235_Население_1133</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№24_Обретеник_Общ.Борово_Обл.Русе_EKATE_53117_Население_875</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№28_Полско Косово_Общ.Бяла_Обл.Русе_EKATE_57368_Население_1053</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№44_Тръстеник_Общ.Иваново_Обл.Русе_EKATE_73362_Население_1040</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№52_Ястребово_Общ.Русе_Обл.Русе_EKATE_87700_Население_222</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Североизточен район:</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№12_Дългопол_Общ.Дългопол_Обл.Варна_EKATE_24565_Население_4296</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lastRenderedPageBreak/>
              <w:t xml:space="preserve">№31_Старо </w:t>
            </w:r>
            <w:proofErr w:type="spellStart"/>
            <w:r w:rsidRPr="00A616AC">
              <w:rPr>
                <w:rFonts w:ascii="Times New Roman" w:hAnsi="Times New Roman" w:cs="Times New Roman"/>
                <w:sz w:val="24"/>
                <w:szCs w:val="24"/>
              </w:rPr>
              <w:t>Оряхово_Общ.Долни</w:t>
            </w:r>
            <w:proofErr w:type="spellEnd"/>
            <w:r w:rsidRPr="00A616AC">
              <w:rPr>
                <w:rFonts w:ascii="Times New Roman" w:hAnsi="Times New Roman" w:cs="Times New Roman"/>
                <w:sz w:val="24"/>
                <w:szCs w:val="24"/>
              </w:rPr>
              <w:t xml:space="preserve"> чифлик_Обл.Варна_EKATE_68998_Население_2526</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Югоизточен район:</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№11_Дебелт_Общ.Средец_Обл.Бургас_EKATE_20273_Население_1882</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№17_Зимница_Общ.Стралджа_Обл.Ямбол_EKATE_30898_Население_1587</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№21_Крън_Общ.Казанлък_Обл.Стара Загора_EKATE_40292_Население_2894</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№32_Руен_Общ.Руен_Обл.Бургас_EKATE_63224_Население_2494</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№36_Средец_Общ.Средец_Обл.Бургас_EKATE_17974_Население_8645</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№39_Сърнево_Общ.Раднево_Обл.Стара Загора_EKATE_70586_Население_1384</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Югозападен район:</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№4_Баня_Общ.Разлог_Обл.Благоевград_EKATE_2693_Население_2650</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 xml:space="preserve">№9_Ботунец_Общ.Столична_Обл.София (столица)_EKATE_5880_Население_6818 </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№20_Дамяница_Общ.Сандански_Обл.Благоевград_EKATE_20105_Население_1162</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№32_Кладница_Общ.Перник_Обл.Перник_EKATE_37174_Население_1366</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№37_Кресна_Общ.Кресна_Обл.Благоевград_EKATE_14492_Население_3216</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№46_Момин проход_Общ.Костенец_Обл.София_EKATE_50245_Население_1325</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№52_Първомай_Общ.Петрич_Обл.Благоевград_EKATE_59077_Население_3056</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lastRenderedPageBreak/>
              <w:t>№55_Рударци_Общ.Перник_Обл.Перник_EKATE_63152_Население_1390</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Южен централен район:</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№3_Баня_Общ.Карлово_Обл.Пловдив_EKATE_2720_Население_3018</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№25_Катуница_Общ.Садово_Обл.Пловдив_EKATE_36676_Население_2314</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№42_Радилово_Общ.Пещера_Обл.Пазарджик_EKATE_61371_Население_1174</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№50_Труд_Общ.Марица_Обл.Пловдив_EKATE_73242_Население_4111</w:t>
            </w:r>
          </w:p>
          <w:p w:rsidR="009428F5" w:rsidRPr="00A616AC" w:rsidRDefault="009428F5" w:rsidP="00884CAC">
            <w:pPr>
              <w:rPr>
                <w:rFonts w:ascii="Times New Roman" w:hAnsi="Times New Roman" w:cs="Times New Roman"/>
                <w:sz w:val="24"/>
                <w:szCs w:val="24"/>
              </w:rPr>
            </w:pPr>
          </w:p>
        </w:tc>
        <w:tc>
          <w:tcPr>
            <w:tcW w:w="4785" w:type="dxa"/>
          </w:tcPr>
          <w:p w:rsidR="009428F5" w:rsidRPr="00B7037A" w:rsidRDefault="009428F5" w:rsidP="00B7037A">
            <w:pPr>
              <w:rPr>
                <w:rFonts w:ascii="Times New Roman" w:hAnsi="Times New Roman" w:cs="Times New Roman"/>
                <w:sz w:val="24"/>
                <w:szCs w:val="24"/>
              </w:rPr>
            </w:pPr>
            <w:r w:rsidRPr="00AF3779">
              <w:rPr>
                <w:rFonts w:ascii="Times New Roman" w:hAnsi="Times New Roman" w:cs="Times New Roman"/>
                <w:sz w:val="24"/>
                <w:szCs w:val="24"/>
              </w:rPr>
              <w:lastRenderedPageBreak/>
              <w:t>Приема се</w:t>
            </w:r>
            <w:r w:rsidR="00B7037A">
              <w:rPr>
                <w:rFonts w:ascii="Times New Roman" w:hAnsi="Times New Roman" w:cs="Times New Roman"/>
                <w:sz w:val="24"/>
                <w:szCs w:val="24"/>
                <w:lang w:val="en-US"/>
              </w:rPr>
              <w:t xml:space="preserve"> </w:t>
            </w:r>
            <w:r w:rsidR="00B7037A">
              <w:rPr>
                <w:rFonts w:ascii="Times New Roman" w:hAnsi="Times New Roman" w:cs="Times New Roman"/>
                <w:sz w:val="24"/>
                <w:szCs w:val="24"/>
              </w:rPr>
              <w:t>по принцип. СНД е извършило служебна проверка и е изключило от списъка определени населени места.</w:t>
            </w:r>
          </w:p>
        </w:tc>
      </w:tr>
      <w:tr w:rsidR="009428F5" w:rsidRPr="00A616AC" w:rsidTr="00A616AC">
        <w:tc>
          <w:tcPr>
            <w:tcW w:w="1296" w:type="dxa"/>
            <w:vMerge/>
          </w:tcPr>
          <w:p w:rsidR="009428F5" w:rsidRPr="00A616AC" w:rsidRDefault="009428F5">
            <w:pPr>
              <w:rPr>
                <w:rFonts w:ascii="Times New Roman" w:hAnsi="Times New Roman" w:cs="Times New Roman"/>
                <w:color w:val="333333"/>
                <w:sz w:val="24"/>
                <w:szCs w:val="24"/>
                <w:shd w:val="clear" w:color="auto" w:fill="FFFFFF"/>
              </w:rPr>
            </w:pPr>
          </w:p>
        </w:tc>
        <w:tc>
          <w:tcPr>
            <w:tcW w:w="1927" w:type="dxa"/>
            <w:vMerge/>
          </w:tcPr>
          <w:p w:rsidR="009428F5" w:rsidRPr="00A616AC" w:rsidRDefault="009428F5">
            <w:pPr>
              <w:rPr>
                <w:rFonts w:ascii="Times New Roman" w:hAnsi="Times New Roman" w:cs="Times New Roman"/>
                <w:color w:val="333333"/>
                <w:sz w:val="24"/>
                <w:szCs w:val="24"/>
                <w:shd w:val="clear" w:color="auto" w:fill="FFFFFF"/>
              </w:rPr>
            </w:pPr>
          </w:p>
        </w:tc>
        <w:tc>
          <w:tcPr>
            <w:tcW w:w="5986" w:type="dxa"/>
          </w:tcPr>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1.2.</w:t>
            </w:r>
            <w:r w:rsidRPr="00A616AC">
              <w:rPr>
                <w:rFonts w:ascii="Times New Roman" w:hAnsi="Times New Roman" w:cs="Times New Roman"/>
                <w:sz w:val="24"/>
                <w:szCs w:val="24"/>
              </w:rPr>
              <w:tab/>
              <w:t>В Раздел 14 „Категории разходи, допустими за финансиране“:</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 xml:space="preserve">В т. 4.1, подточка 4 е предвидено, че разходите следва да са действително платени не по-късно от 30.06.2026 г. Предлагаме промяна, която да предвижда, че срокът се прилага за доставките, а не за действителното плащане на разходите.   </w:t>
            </w:r>
          </w:p>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 xml:space="preserve">Мотиви: В обичайната търговска практика заплащането на дължимите разходи се извършва в определен срок след извършване и приемане на доставката. Доколкото 30.06.2026 г. е крайната дата за реализиране на проекта, т.е. за изпълнение на доставките, то самото действително плащане на част от разходите вероятно ще бъде извършено след тази дата. По този начин ще се избегне необходимостта от извършване на авансови плащания от бенефициентите към техните доставчици, респективно ще се гарантира действително изпълнение на проекта в срок. </w:t>
            </w:r>
          </w:p>
          <w:p w:rsidR="009428F5" w:rsidRPr="00A616AC" w:rsidRDefault="009428F5" w:rsidP="00884CAC">
            <w:pPr>
              <w:rPr>
                <w:rFonts w:ascii="Times New Roman" w:hAnsi="Times New Roman" w:cs="Times New Roman"/>
                <w:sz w:val="24"/>
                <w:szCs w:val="24"/>
              </w:rPr>
            </w:pPr>
          </w:p>
        </w:tc>
        <w:tc>
          <w:tcPr>
            <w:tcW w:w="4785" w:type="dxa"/>
          </w:tcPr>
          <w:p w:rsidR="009428F5" w:rsidRPr="00A616AC" w:rsidRDefault="009428F5">
            <w:pPr>
              <w:rPr>
                <w:rFonts w:ascii="Times New Roman" w:hAnsi="Times New Roman" w:cs="Times New Roman"/>
                <w:sz w:val="24"/>
                <w:szCs w:val="24"/>
              </w:rPr>
            </w:pPr>
            <w:r w:rsidRPr="00AF3779">
              <w:rPr>
                <w:rFonts w:ascii="Times New Roman" w:hAnsi="Times New Roman" w:cs="Times New Roman"/>
                <w:sz w:val="24"/>
                <w:szCs w:val="24"/>
              </w:rPr>
              <w:t xml:space="preserve">Не се приема. За да се извършат съответните финални плащания от СНД, разходите следва да бъдат действително извършени и изплатени/платени, за което следва да се представени съответните </w:t>
            </w:r>
            <w:proofErr w:type="spellStart"/>
            <w:r w:rsidRPr="00AF3779">
              <w:rPr>
                <w:rFonts w:ascii="Times New Roman" w:hAnsi="Times New Roman" w:cs="Times New Roman"/>
                <w:sz w:val="24"/>
                <w:szCs w:val="24"/>
              </w:rPr>
              <w:t>разходооправдателни</w:t>
            </w:r>
            <w:proofErr w:type="spellEnd"/>
            <w:r w:rsidRPr="00AF3779">
              <w:rPr>
                <w:rFonts w:ascii="Times New Roman" w:hAnsi="Times New Roman" w:cs="Times New Roman"/>
                <w:sz w:val="24"/>
                <w:szCs w:val="24"/>
              </w:rPr>
              <w:t xml:space="preserve"> документи чрез ИСМ-ИСУН.</w:t>
            </w:r>
          </w:p>
        </w:tc>
      </w:tr>
      <w:tr w:rsidR="009428F5" w:rsidRPr="00A616AC" w:rsidTr="00A616AC">
        <w:tc>
          <w:tcPr>
            <w:tcW w:w="1296" w:type="dxa"/>
            <w:vMerge/>
          </w:tcPr>
          <w:p w:rsidR="009428F5" w:rsidRPr="00A616AC" w:rsidRDefault="009428F5">
            <w:pPr>
              <w:rPr>
                <w:rFonts w:ascii="Times New Roman" w:hAnsi="Times New Roman" w:cs="Times New Roman"/>
                <w:color w:val="333333"/>
                <w:sz w:val="24"/>
                <w:szCs w:val="24"/>
                <w:shd w:val="clear" w:color="auto" w:fill="FFFFFF"/>
              </w:rPr>
            </w:pPr>
          </w:p>
        </w:tc>
        <w:tc>
          <w:tcPr>
            <w:tcW w:w="1927" w:type="dxa"/>
            <w:vMerge/>
          </w:tcPr>
          <w:p w:rsidR="009428F5" w:rsidRPr="00A616AC" w:rsidRDefault="009428F5">
            <w:pPr>
              <w:rPr>
                <w:rFonts w:ascii="Times New Roman" w:hAnsi="Times New Roman" w:cs="Times New Roman"/>
                <w:color w:val="333333"/>
                <w:sz w:val="24"/>
                <w:szCs w:val="24"/>
                <w:shd w:val="clear" w:color="auto" w:fill="FFFFFF"/>
              </w:rPr>
            </w:pPr>
          </w:p>
        </w:tc>
        <w:tc>
          <w:tcPr>
            <w:tcW w:w="5986" w:type="dxa"/>
          </w:tcPr>
          <w:p w:rsidR="009428F5" w:rsidRPr="00A616AC"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2.</w:t>
            </w:r>
            <w:r w:rsidRPr="00A616AC">
              <w:rPr>
                <w:rFonts w:ascii="Times New Roman" w:hAnsi="Times New Roman" w:cs="Times New Roman"/>
                <w:sz w:val="24"/>
                <w:szCs w:val="24"/>
              </w:rPr>
              <w:tab/>
              <w:t xml:space="preserve">По Приложение 9 „Критерии и методология за оценка на предложения за осъществяване на инвестиции“ </w:t>
            </w:r>
          </w:p>
          <w:p w:rsidR="009428F5" w:rsidRDefault="009428F5" w:rsidP="00AF3779">
            <w:pPr>
              <w:rPr>
                <w:rFonts w:ascii="Times New Roman" w:hAnsi="Times New Roman" w:cs="Times New Roman"/>
                <w:sz w:val="24"/>
                <w:szCs w:val="24"/>
              </w:rPr>
            </w:pPr>
            <w:r w:rsidRPr="00A616AC">
              <w:rPr>
                <w:rFonts w:ascii="Times New Roman" w:hAnsi="Times New Roman" w:cs="Times New Roman"/>
                <w:sz w:val="24"/>
                <w:szCs w:val="24"/>
              </w:rPr>
              <w:t xml:space="preserve">Във връзка с оценката за сигурност и </w:t>
            </w:r>
            <w:proofErr w:type="spellStart"/>
            <w:r w:rsidRPr="00A616AC">
              <w:rPr>
                <w:rFonts w:ascii="Times New Roman" w:hAnsi="Times New Roman" w:cs="Times New Roman"/>
                <w:sz w:val="24"/>
                <w:szCs w:val="24"/>
              </w:rPr>
              <w:t>киберсигурност</w:t>
            </w:r>
            <w:proofErr w:type="spellEnd"/>
            <w:r w:rsidRPr="00A616AC">
              <w:rPr>
                <w:rFonts w:ascii="Times New Roman" w:hAnsi="Times New Roman" w:cs="Times New Roman"/>
                <w:sz w:val="24"/>
                <w:szCs w:val="24"/>
              </w:rPr>
              <w:t xml:space="preserve"> по критерий III.3 от „Критерии и методология за оценка на предложения за осъществяване на инвестиции“ молим за уточнение в случай, че имате специфични изисквания по отношение на доставчици, които кандидатите могат да ползват и да отчитат направените разходи по изпълнение на проекта, както и по отношение на произхода на вложените материали, използвани в дейностите, допустими за финансиране.</w:t>
            </w:r>
          </w:p>
          <w:p w:rsidR="009428F5" w:rsidRPr="00A616AC" w:rsidRDefault="009428F5" w:rsidP="00AF3779">
            <w:pPr>
              <w:rPr>
                <w:rFonts w:ascii="Times New Roman" w:hAnsi="Times New Roman" w:cs="Times New Roman"/>
                <w:sz w:val="24"/>
                <w:szCs w:val="24"/>
              </w:rPr>
            </w:pPr>
          </w:p>
        </w:tc>
        <w:tc>
          <w:tcPr>
            <w:tcW w:w="4785" w:type="dxa"/>
          </w:tcPr>
          <w:p w:rsidR="009428F5" w:rsidRDefault="009428F5" w:rsidP="0062237B">
            <w:pPr>
              <w:rPr>
                <w:rFonts w:ascii="Times New Roman" w:hAnsi="Times New Roman" w:cs="Times New Roman"/>
                <w:sz w:val="24"/>
                <w:szCs w:val="24"/>
              </w:rPr>
            </w:pPr>
            <w:r w:rsidRPr="00AF3779">
              <w:rPr>
                <w:rFonts w:ascii="Times New Roman" w:hAnsi="Times New Roman" w:cs="Times New Roman"/>
                <w:sz w:val="24"/>
                <w:szCs w:val="24"/>
              </w:rPr>
              <w:t xml:space="preserve">Няма конкретно предложение. Даваме следната допълнителна информация относно критериите за оценка, а именно: заложените критерии са в съответствие с установените на ниво ЕС добри практики. При оценката ще се разглежда безопасността, сигурността, </w:t>
            </w:r>
            <w:proofErr w:type="spellStart"/>
            <w:r w:rsidRPr="00AF3779">
              <w:rPr>
                <w:rFonts w:ascii="Times New Roman" w:hAnsi="Times New Roman" w:cs="Times New Roman"/>
                <w:sz w:val="24"/>
                <w:szCs w:val="24"/>
              </w:rPr>
              <w:t>киберсигурността</w:t>
            </w:r>
            <w:proofErr w:type="spellEnd"/>
            <w:r w:rsidRPr="00AF3779">
              <w:rPr>
                <w:rFonts w:ascii="Times New Roman" w:hAnsi="Times New Roman" w:cs="Times New Roman"/>
                <w:sz w:val="24"/>
                <w:szCs w:val="24"/>
              </w:rPr>
              <w:t xml:space="preserve"> на телекомуникационните мрежи в духа на установените на ниво ЕС правила и препоръки, в т.ч. </w:t>
            </w:r>
            <w:r w:rsidR="00E75F7C">
              <w:rPr>
                <w:rFonts w:ascii="Times New Roman" w:hAnsi="Times New Roman" w:cs="Times New Roman"/>
                <w:sz w:val="24"/>
                <w:szCs w:val="24"/>
              </w:rPr>
              <w:t>П</w:t>
            </w:r>
            <w:r w:rsidR="00E75F7C" w:rsidRPr="00E75F7C">
              <w:rPr>
                <w:rFonts w:ascii="Times New Roman" w:hAnsi="Times New Roman" w:cs="Times New Roman"/>
                <w:sz w:val="24"/>
                <w:szCs w:val="24"/>
              </w:rPr>
              <w:t>репоръка</w:t>
            </w:r>
            <w:r w:rsidR="00E75F7C">
              <w:rPr>
                <w:rFonts w:ascii="Times New Roman" w:hAnsi="Times New Roman" w:cs="Times New Roman"/>
                <w:sz w:val="24"/>
                <w:szCs w:val="24"/>
              </w:rPr>
              <w:t>та (ЕС</w:t>
            </w:r>
            <w:r w:rsidR="00E75F7C" w:rsidRPr="00E75F7C">
              <w:rPr>
                <w:rFonts w:ascii="Times New Roman" w:hAnsi="Times New Roman" w:cs="Times New Roman"/>
                <w:sz w:val="24"/>
                <w:szCs w:val="24"/>
              </w:rPr>
              <w:t xml:space="preserve">) 2019/534 на </w:t>
            </w:r>
            <w:r w:rsidR="00E75F7C">
              <w:rPr>
                <w:rFonts w:ascii="Times New Roman" w:hAnsi="Times New Roman" w:cs="Times New Roman"/>
                <w:sz w:val="24"/>
                <w:szCs w:val="24"/>
              </w:rPr>
              <w:t>К</w:t>
            </w:r>
            <w:r w:rsidR="00E75F7C" w:rsidRPr="00E75F7C">
              <w:rPr>
                <w:rFonts w:ascii="Times New Roman" w:hAnsi="Times New Roman" w:cs="Times New Roman"/>
                <w:sz w:val="24"/>
                <w:szCs w:val="24"/>
              </w:rPr>
              <w:t>омисията</w:t>
            </w:r>
            <w:r w:rsidR="00E75F7C">
              <w:rPr>
                <w:rFonts w:ascii="Times New Roman" w:hAnsi="Times New Roman" w:cs="Times New Roman"/>
                <w:sz w:val="24"/>
                <w:szCs w:val="24"/>
              </w:rPr>
              <w:t xml:space="preserve"> </w:t>
            </w:r>
            <w:r w:rsidR="00E75F7C" w:rsidRPr="00E75F7C">
              <w:rPr>
                <w:rFonts w:ascii="Times New Roman" w:hAnsi="Times New Roman" w:cs="Times New Roman"/>
                <w:sz w:val="24"/>
                <w:szCs w:val="24"/>
              </w:rPr>
              <w:t>от 26 март 2019 г</w:t>
            </w:r>
            <w:r w:rsidR="00E75F7C">
              <w:rPr>
                <w:rFonts w:ascii="Times New Roman" w:hAnsi="Times New Roman" w:cs="Times New Roman"/>
                <w:sz w:val="24"/>
                <w:szCs w:val="24"/>
              </w:rPr>
              <w:t xml:space="preserve">. </w:t>
            </w:r>
            <w:proofErr w:type="spellStart"/>
            <w:r w:rsidR="00E75F7C" w:rsidRPr="00E75F7C">
              <w:rPr>
                <w:rFonts w:ascii="Times New Roman" w:hAnsi="Times New Roman" w:cs="Times New Roman"/>
                <w:sz w:val="24"/>
                <w:szCs w:val="24"/>
              </w:rPr>
              <w:t>Киберсигурност</w:t>
            </w:r>
            <w:proofErr w:type="spellEnd"/>
            <w:r w:rsidR="00E75F7C" w:rsidRPr="00E75F7C">
              <w:rPr>
                <w:rFonts w:ascii="Times New Roman" w:hAnsi="Times New Roman" w:cs="Times New Roman"/>
                <w:sz w:val="24"/>
                <w:szCs w:val="24"/>
              </w:rPr>
              <w:t xml:space="preserve"> на 5G мрежите</w:t>
            </w:r>
            <w:r w:rsidR="00E75F7C" w:rsidRPr="0062237B">
              <w:rPr>
                <w:rFonts w:ascii="Times New Roman" w:hAnsi="Times New Roman" w:cs="Times New Roman"/>
                <w:sz w:val="24"/>
                <w:szCs w:val="24"/>
              </w:rPr>
              <w:t xml:space="preserve"> </w:t>
            </w:r>
            <w:r w:rsidR="00E75F7C" w:rsidRPr="00E75F7C">
              <w:rPr>
                <w:rFonts w:ascii="Times New Roman" w:hAnsi="Times New Roman" w:cs="Times New Roman"/>
                <w:sz w:val="24"/>
                <w:szCs w:val="24"/>
              </w:rPr>
              <w:t>C/2019/2335</w:t>
            </w:r>
            <w:r w:rsidR="0062237B">
              <w:rPr>
                <w:rFonts w:ascii="Times New Roman" w:hAnsi="Times New Roman" w:cs="Times New Roman"/>
                <w:sz w:val="24"/>
                <w:szCs w:val="24"/>
              </w:rPr>
              <w:t>;</w:t>
            </w:r>
            <w:r w:rsidR="00E75F7C">
              <w:rPr>
                <w:rFonts w:ascii="Times New Roman" w:hAnsi="Times New Roman" w:cs="Times New Roman"/>
                <w:sz w:val="24"/>
                <w:szCs w:val="24"/>
              </w:rPr>
              <w:t xml:space="preserve"> </w:t>
            </w:r>
            <w:hyperlink r:id="rId5" w:history="1">
              <w:r w:rsidR="00E75F7C">
                <w:rPr>
                  <w:rFonts w:ascii="Times New Roman" w:hAnsi="Times New Roman" w:cs="Times New Roman"/>
                  <w:sz w:val="24"/>
                  <w:szCs w:val="24"/>
                </w:rPr>
                <w:t>Д</w:t>
              </w:r>
              <w:r w:rsidR="00E75F7C" w:rsidRPr="00E75F7C">
                <w:rPr>
                  <w:rFonts w:ascii="Times New Roman" w:hAnsi="Times New Roman" w:cs="Times New Roman"/>
                  <w:sz w:val="24"/>
                  <w:szCs w:val="24"/>
                </w:rPr>
                <w:t>оклад</w:t>
              </w:r>
              <w:r w:rsidR="00E75F7C">
                <w:rPr>
                  <w:rFonts w:ascii="Times New Roman" w:hAnsi="Times New Roman" w:cs="Times New Roman"/>
                  <w:sz w:val="24"/>
                  <w:szCs w:val="24"/>
                </w:rPr>
                <w:t>а</w:t>
              </w:r>
              <w:r w:rsidR="00E75F7C" w:rsidRPr="00E75F7C">
                <w:rPr>
                  <w:rFonts w:ascii="Times New Roman" w:hAnsi="Times New Roman" w:cs="Times New Roman"/>
                  <w:sz w:val="24"/>
                  <w:szCs w:val="24"/>
                </w:rPr>
                <w:t xml:space="preserve"> относно координираната оценка на ЕС на риска за </w:t>
              </w:r>
              <w:proofErr w:type="spellStart"/>
              <w:r w:rsidR="00E75F7C" w:rsidRPr="00E75F7C">
                <w:rPr>
                  <w:rFonts w:ascii="Times New Roman" w:hAnsi="Times New Roman" w:cs="Times New Roman"/>
                  <w:sz w:val="24"/>
                  <w:szCs w:val="24"/>
                </w:rPr>
                <w:t>киберсигурността</w:t>
              </w:r>
              <w:proofErr w:type="spellEnd"/>
              <w:r w:rsidR="00E75F7C" w:rsidRPr="00E75F7C">
                <w:rPr>
                  <w:rFonts w:ascii="Times New Roman" w:hAnsi="Times New Roman" w:cs="Times New Roman"/>
                  <w:sz w:val="24"/>
                  <w:szCs w:val="24"/>
                </w:rPr>
                <w:t xml:space="preserve"> при мрежите от пето поколение (5G)</w:t>
              </w:r>
            </w:hyperlink>
            <w:r w:rsidR="00E75F7C" w:rsidRPr="00E75F7C">
              <w:rPr>
                <w:rFonts w:ascii="Times New Roman" w:hAnsi="Times New Roman" w:cs="Times New Roman"/>
                <w:sz w:val="24"/>
                <w:szCs w:val="24"/>
              </w:rPr>
              <w:t xml:space="preserve"> </w:t>
            </w:r>
            <w:r w:rsidR="002D2FE1" w:rsidRPr="00E75F7C">
              <w:rPr>
                <w:rFonts w:ascii="Times New Roman" w:hAnsi="Times New Roman" w:cs="Times New Roman"/>
                <w:sz w:val="24"/>
                <w:szCs w:val="24"/>
              </w:rPr>
              <w:t>от 9 октомври 2019 г.;</w:t>
            </w:r>
            <w:r w:rsidR="002D2FE1" w:rsidRPr="00DD0620">
              <w:rPr>
                <w:rFonts w:ascii="Times New Roman" w:hAnsi="Times New Roman" w:cs="Times New Roman"/>
                <w:sz w:val="24"/>
                <w:szCs w:val="24"/>
              </w:rPr>
              <w:t xml:space="preserve"> </w:t>
            </w:r>
            <w:r w:rsidR="006B1214" w:rsidRPr="00DD0620">
              <w:rPr>
                <w:rFonts w:ascii="Times New Roman" w:hAnsi="Times New Roman" w:cs="Times New Roman"/>
                <w:sz w:val="24"/>
                <w:szCs w:val="24"/>
              </w:rPr>
              <w:t xml:space="preserve">Заключенията на Съвета относно значението на 5G за европейската икономика и необходимостта от смекчаване на рисковете за сигурността, свързани с 5G </w:t>
            </w:r>
            <w:r w:rsidR="00DD0620" w:rsidRPr="00DD0620">
              <w:rPr>
                <w:rFonts w:ascii="Times New Roman" w:hAnsi="Times New Roman" w:cs="Times New Roman"/>
                <w:sz w:val="24"/>
                <w:szCs w:val="24"/>
              </w:rPr>
              <w:t>от 3 декември 2019 г.</w:t>
            </w:r>
            <w:r w:rsidR="0062237B">
              <w:rPr>
                <w:rFonts w:ascii="Times New Roman" w:hAnsi="Times New Roman" w:cs="Times New Roman"/>
                <w:sz w:val="24"/>
                <w:szCs w:val="24"/>
              </w:rPr>
              <w:t>;</w:t>
            </w:r>
            <w:r w:rsidR="00DD0620" w:rsidRPr="00DD0620">
              <w:rPr>
                <w:rFonts w:ascii="Times New Roman" w:hAnsi="Times New Roman" w:cs="Times New Roman"/>
                <w:sz w:val="24"/>
                <w:szCs w:val="24"/>
              </w:rPr>
              <w:t xml:space="preserve"> Инструментариум</w:t>
            </w:r>
            <w:r w:rsidR="0062237B">
              <w:rPr>
                <w:rFonts w:ascii="Times New Roman" w:hAnsi="Times New Roman" w:cs="Times New Roman"/>
                <w:sz w:val="24"/>
                <w:szCs w:val="24"/>
              </w:rPr>
              <w:t>а</w:t>
            </w:r>
            <w:r w:rsidR="00DD0620" w:rsidRPr="00DD0620">
              <w:rPr>
                <w:rFonts w:ascii="Times New Roman" w:hAnsi="Times New Roman" w:cs="Times New Roman"/>
                <w:sz w:val="24"/>
                <w:szCs w:val="24"/>
              </w:rPr>
              <w:t xml:space="preserve"> на ЕС от мерки за намаляване на риска</w:t>
            </w:r>
            <w:r w:rsidR="00DD0620">
              <w:rPr>
                <w:rFonts w:ascii="Times New Roman" w:hAnsi="Times New Roman" w:cs="Times New Roman"/>
                <w:sz w:val="24"/>
                <w:szCs w:val="24"/>
              </w:rPr>
              <w:t xml:space="preserve"> - </w:t>
            </w:r>
            <w:proofErr w:type="spellStart"/>
            <w:r w:rsidR="00DD0620" w:rsidRPr="00DD0620">
              <w:rPr>
                <w:rFonts w:ascii="Times New Roman" w:hAnsi="Times New Roman" w:cs="Times New Roman"/>
                <w:sz w:val="24"/>
                <w:szCs w:val="24"/>
              </w:rPr>
              <w:t>Киберсигурност</w:t>
            </w:r>
            <w:proofErr w:type="spellEnd"/>
            <w:r w:rsidR="00DD0620" w:rsidRPr="00DD0620">
              <w:rPr>
                <w:rFonts w:ascii="Times New Roman" w:hAnsi="Times New Roman" w:cs="Times New Roman"/>
                <w:sz w:val="24"/>
                <w:szCs w:val="24"/>
              </w:rPr>
              <w:t xml:space="preserve"> на мрежите 5G </w:t>
            </w:r>
            <w:r w:rsidR="00DD0620">
              <w:rPr>
                <w:rFonts w:ascii="Times New Roman" w:hAnsi="Times New Roman" w:cs="Times New Roman"/>
                <w:sz w:val="24"/>
                <w:szCs w:val="24"/>
              </w:rPr>
              <w:t>от 29 януари 2020 г.</w:t>
            </w:r>
            <w:r w:rsidR="00DD0620" w:rsidRPr="0062237B">
              <w:rPr>
                <w:rFonts w:ascii="Times New Roman" w:hAnsi="Times New Roman" w:cs="Times New Roman"/>
                <w:sz w:val="24"/>
                <w:szCs w:val="24"/>
              </w:rPr>
              <w:t xml:space="preserve"> </w:t>
            </w:r>
            <w:r w:rsidR="00DD0620">
              <w:rPr>
                <w:rFonts w:ascii="Times New Roman" w:hAnsi="Times New Roman" w:cs="Times New Roman"/>
                <w:sz w:val="24"/>
                <w:szCs w:val="24"/>
              </w:rPr>
              <w:t xml:space="preserve">и </w:t>
            </w:r>
            <w:r w:rsidR="00DD0620" w:rsidRPr="00DD0620">
              <w:rPr>
                <w:rFonts w:ascii="Times New Roman" w:hAnsi="Times New Roman" w:cs="Times New Roman"/>
                <w:sz w:val="24"/>
                <w:szCs w:val="24"/>
              </w:rPr>
              <w:t>Съобщение</w:t>
            </w:r>
            <w:r w:rsidR="00DD0620">
              <w:rPr>
                <w:rFonts w:ascii="Times New Roman" w:hAnsi="Times New Roman" w:cs="Times New Roman"/>
                <w:sz w:val="24"/>
                <w:szCs w:val="24"/>
              </w:rPr>
              <w:t>то (</w:t>
            </w:r>
            <w:r w:rsidR="00DD0620" w:rsidRPr="00DD0620">
              <w:rPr>
                <w:rFonts w:ascii="Times New Roman" w:hAnsi="Times New Roman" w:cs="Times New Roman"/>
                <w:sz w:val="24"/>
                <w:szCs w:val="24"/>
              </w:rPr>
              <w:t>COM(2020) 50</w:t>
            </w:r>
            <w:r w:rsidR="00DD0620">
              <w:rPr>
                <w:rFonts w:ascii="Times New Roman" w:hAnsi="Times New Roman" w:cs="Times New Roman"/>
                <w:sz w:val="24"/>
                <w:szCs w:val="24"/>
              </w:rPr>
              <w:t xml:space="preserve">) от 29 януари 2020 г. за сигурно внедряване на 5G в ЕС - </w:t>
            </w:r>
            <w:r w:rsidR="00DD0620" w:rsidRPr="00DD0620">
              <w:rPr>
                <w:rFonts w:ascii="Times New Roman" w:hAnsi="Times New Roman" w:cs="Times New Roman"/>
                <w:sz w:val="24"/>
                <w:szCs w:val="24"/>
              </w:rPr>
              <w:t xml:space="preserve">прилагане на инструментариума на ЕС </w:t>
            </w:r>
            <w:proofErr w:type="spellStart"/>
            <w:r w:rsidR="00DD0620" w:rsidRPr="00DD0620">
              <w:rPr>
                <w:rFonts w:ascii="Times New Roman" w:hAnsi="Times New Roman" w:cs="Times New Roman"/>
                <w:sz w:val="24"/>
                <w:szCs w:val="24"/>
              </w:rPr>
              <w:t>Киберсигурност</w:t>
            </w:r>
            <w:proofErr w:type="spellEnd"/>
            <w:r w:rsidR="00DD0620" w:rsidRPr="00DD0620">
              <w:rPr>
                <w:rFonts w:ascii="Times New Roman" w:hAnsi="Times New Roman" w:cs="Times New Roman"/>
                <w:sz w:val="24"/>
                <w:szCs w:val="24"/>
              </w:rPr>
              <w:t xml:space="preserve"> на мрежите 5G</w:t>
            </w:r>
            <w:r w:rsidR="00DD0620">
              <w:rPr>
                <w:rFonts w:ascii="Times New Roman" w:hAnsi="Times New Roman" w:cs="Times New Roman"/>
                <w:sz w:val="24"/>
                <w:szCs w:val="24"/>
              </w:rPr>
              <w:t xml:space="preserve"> </w:t>
            </w:r>
            <w:r w:rsidR="00DD7A5E">
              <w:rPr>
                <w:rFonts w:ascii="Times New Roman" w:hAnsi="Times New Roman" w:cs="Times New Roman"/>
                <w:sz w:val="24"/>
                <w:szCs w:val="24"/>
              </w:rPr>
              <w:t>(</w:t>
            </w:r>
            <w:r w:rsidRPr="0062237B">
              <w:rPr>
                <w:rFonts w:ascii="Times New Roman" w:hAnsi="Times New Roman" w:cs="Times New Roman"/>
                <w:sz w:val="24"/>
                <w:szCs w:val="24"/>
              </w:rPr>
              <w:t>C(2023)4049</w:t>
            </w:r>
            <w:r w:rsidR="00DD7A5E">
              <w:rPr>
                <w:rFonts w:ascii="Times New Roman" w:hAnsi="Times New Roman" w:cs="Times New Roman"/>
                <w:sz w:val="24"/>
                <w:szCs w:val="24"/>
              </w:rPr>
              <w:t>)</w:t>
            </w:r>
            <w:r w:rsidRPr="0062237B">
              <w:rPr>
                <w:rFonts w:ascii="Times New Roman" w:hAnsi="Times New Roman" w:cs="Times New Roman"/>
                <w:sz w:val="24"/>
                <w:szCs w:val="24"/>
              </w:rPr>
              <w:t xml:space="preserve"> </w:t>
            </w:r>
            <w:r w:rsidR="00DD0620" w:rsidRPr="0062237B">
              <w:rPr>
                <w:rFonts w:ascii="Times New Roman" w:hAnsi="Times New Roman" w:cs="Times New Roman"/>
                <w:sz w:val="24"/>
                <w:szCs w:val="24"/>
              </w:rPr>
              <w:t>от 15 юни</w:t>
            </w:r>
            <w:r w:rsidRPr="0062237B">
              <w:rPr>
                <w:rFonts w:ascii="Times New Roman" w:hAnsi="Times New Roman" w:cs="Times New Roman"/>
                <w:sz w:val="24"/>
                <w:szCs w:val="24"/>
              </w:rPr>
              <w:t xml:space="preserve"> 2023</w:t>
            </w:r>
            <w:r w:rsidR="00DD0620" w:rsidRPr="0062237B">
              <w:rPr>
                <w:rFonts w:ascii="Times New Roman" w:hAnsi="Times New Roman" w:cs="Times New Roman"/>
                <w:sz w:val="24"/>
                <w:szCs w:val="24"/>
              </w:rPr>
              <w:t xml:space="preserve"> г.</w:t>
            </w:r>
            <w:r w:rsidRPr="0062237B">
              <w:rPr>
                <w:rFonts w:ascii="Times New Roman" w:hAnsi="Times New Roman" w:cs="Times New Roman"/>
                <w:sz w:val="24"/>
                <w:szCs w:val="24"/>
              </w:rPr>
              <w:t>,</w:t>
            </w:r>
            <w:r w:rsidRPr="00AF3779">
              <w:rPr>
                <w:rFonts w:ascii="Times New Roman" w:hAnsi="Times New Roman" w:cs="Times New Roman"/>
                <w:sz w:val="24"/>
                <w:szCs w:val="24"/>
              </w:rPr>
              <w:t xml:space="preserve"> оперативната съвместимост и аспектите на достъпността на предложението, иновациите и </w:t>
            </w:r>
            <w:r w:rsidRPr="00AF3779">
              <w:rPr>
                <w:rFonts w:ascii="Times New Roman" w:hAnsi="Times New Roman" w:cs="Times New Roman"/>
                <w:sz w:val="24"/>
                <w:szCs w:val="24"/>
              </w:rPr>
              <w:lastRenderedPageBreak/>
              <w:t xml:space="preserve">цифровизацията, както и неговото териториално измерение и принос към мрежовата интеграция и териториалната достъпност.  </w:t>
            </w:r>
          </w:p>
          <w:p w:rsidR="009428F5" w:rsidRPr="00A616AC" w:rsidRDefault="009428F5">
            <w:pPr>
              <w:rPr>
                <w:rFonts w:ascii="Times New Roman" w:hAnsi="Times New Roman" w:cs="Times New Roman"/>
                <w:sz w:val="24"/>
                <w:szCs w:val="24"/>
              </w:rPr>
            </w:pPr>
          </w:p>
        </w:tc>
      </w:tr>
      <w:tr w:rsidR="00574CB4" w:rsidRPr="00A616AC" w:rsidTr="006A203D">
        <w:tc>
          <w:tcPr>
            <w:tcW w:w="1296" w:type="dxa"/>
            <w:vMerge w:val="restart"/>
          </w:tcPr>
          <w:p w:rsidR="00574CB4" w:rsidRPr="00A616AC" w:rsidRDefault="00574CB4">
            <w:pPr>
              <w:rPr>
                <w:rFonts w:ascii="Times New Roman" w:hAnsi="Times New Roman" w:cs="Times New Roman"/>
                <w:sz w:val="24"/>
                <w:szCs w:val="24"/>
              </w:rPr>
            </w:pPr>
            <w:r w:rsidRPr="00A616AC">
              <w:rPr>
                <w:rFonts w:ascii="Times New Roman" w:hAnsi="Times New Roman" w:cs="Times New Roman"/>
                <w:color w:val="333333"/>
                <w:sz w:val="24"/>
                <w:szCs w:val="24"/>
                <w:shd w:val="clear" w:color="auto" w:fill="FFFFFF"/>
              </w:rPr>
              <w:lastRenderedPageBreak/>
              <w:t>03.01.2025</w:t>
            </w:r>
          </w:p>
        </w:tc>
        <w:tc>
          <w:tcPr>
            <w:tcW w:w="1927" w:type="dxa"/>
            <w:vMerge w:val="restart"/>
          </w:tcPr>
          <w:p w:rsidR="00574CB4" w:rsidRPr="00A616AC" w:rsidRDefault="00574CB4">
            <w:pPr>
              <w:rPr>
                <w:rFonts w:ascii="Times New Roman" w:hAnsi="Times New Roman" w:cs="Times New Roman"/>
                <w:sz w:val="24"/>
                <w:szCs w:val="24"/>
              </w:rPr>
            </w:pPr>
            <w:r w:rsidRPr="00A616AC">
              <w:rPr>
                <w:rFonts w:ascii="Times New Roman" w:hAnsi="Times New Roman" w:cs="Times New Roman"/>
                <w:color w:val="333333"/>
                <w:sz w:val="24"/>
                <w:szCs w:val="24"/>
                <w:shd w:val="clear" w:color="auto" w:fill="FFFFFF"/>
              </w:rPr>
              <w:t>BG-RRP-7.008-COM2</w:t>
            </w:r>
          </w:p>
        </w:tc>
        <w:tc>
          <w:tcPr>
            <w:tcW w:w="5986" w:type="dxa"/>
            <w:tcBorders>
              <w:bottom w:val="single" w:sz="4" w:space="0" w:color="auto"/>
            </w:tcBorders>
          </w:tcPr>
          <w:p w:rsidR="00574CB4" w:rsidRPr="00A616AC"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 xml:space="preserve">До </w:t>
            </w:r>
          </w:p>
          <w:p w:rsidR="00574CB4" w:rsidRPr="00A616AC"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Министерство на транспорта и съобщенията,</w:t>
            </w:r>
          </w:p>
          <w:p w:rsidR="00574CB4" w:rsidRPr="00A616AC"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Структура за наблюдение и докладване (СНД)</w:t>
            </w:r>
          </w:p>
          <w:p w:rsidR="00574CB4" w:rsidRPr="00A616AC"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по Инвестиция 1 „Широкомащабно разгръщане на цифрова инфраструктура на територията на България“ от Компонент 7 „Цифрова свързаност“ от Националния план за възстановяване и устойчивост (НПВУ)</w:t>
            </w:r>
          </w:p>
          <w:p w:rsidR="00574CB4" w:rsidRPr="00A616AC" w:rsidRDefault="00574CB4" w:rsidP="00884CAC">
            <w:pPr>
              <w:rPr>
                <w:rFonts w:ascii="Times New Roman" w:hAnsi="Times New Roman" w:cs="Times New Roman"/>
                <w:sz w:val="24"/>
                <w:szCs w:val="24"/>
              </w:rPr>
            </w:pPr>
          </w:p>
          <w:p w:rsidR="00574CB4" w:rsidRPr="00A616AC"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Относно: Обществено обсъждане на проект на процедура BG-RRP-7.008 - Широкомащабно разгръщане на цифрова инфраструктура на територията на България</w:t>
            </w:r>
          </w:p>
          <w:p w:rsidR="00574CB4" w:rsidRPr="00A616AC" w:rsidRDefault="00574CB4" w:rsidP="00884CAC">
            <w:pPr>
              <w:rPr>
                <w:rFonts w:ascii="Times New Roman" w:hAnsi="Times New Roman" w:cs="Times New Roman"/>
                <w:sz w:val="24"/>
                <w:szCs w:val="24"/>
              </w:rPr>
            </w:pPr>
          </w:p>
          <w:p w:rsidR="00574CB4" w:rsidRPr="00A616AC"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 xml:space="preserve">УВАЖАЕМИ ГОСПОЖИ И ГОСПОДА, </w:t>
            </w:r>
          </w:p>
          <w:p w:rsidR="00574CB4" w:rsidRPr="00A616AC"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 xml:space="preserve">С настоящото представяме позицията на „Юнайтед </w:t>
            </w:r>
            <w:proofErr w:type="spellStart"/>
            <w:r w:rsidRPr="00A616AC">
              <w:rPr>
                <w:rFonts w:ascii="Times New Roman" w:hAnsi="Times New Roman" w:cs="Times New Roman"/>
                <w:sz w:val="24"/>
                <w:szCs w:val="24"/>
              </w:rPr>
              <w:t>Файбър</w:t>
            </w:r>
            <w:proofErr w:type="spellEnd"/>
            <w:r w:rsidRPr="00A616AC">
              <w:rPr>
                <w:rFonts w:ascii="Times New Roman" w:hAnsi="Times New Roman" w:cs="Times New Roman"/>
                <w:sz w:val="24"/>
                <w:szCs w:val="24"/>
              </w:rPr>
              <w:t xml:space="preserve"> България“ ЕООД („Юнайтед </w:t>
            </w:r>
            <w:proofErr w:type="spellStart"/>
            <w:r w:rsidRPr="00A616AC">
              <w:rPr>
                <w:rFonts w:ascii="Times New Roman" w:hAnsi="Times New Roman" w:cs="Times New Roman"/>
                <w:sz w:val="24"/>
                <w:szCs w:val="24"/>
              </w:rPr>
              <w:t>Файбър</w:t>
            </w:r>
            <w:proofErr w:type="spellEnd"/>
            <w:r w:rsidRPr="00A616AC">
              <w:rPr>
                <w:rFonts w:ascii="Times New Roman" w:hAnsi="Times New Roman" w:cs="Times New Roman"/>
                <w:sz w:val="24"/>
                <w:szCs w:val="24"/>
              </w:rPr>
              <w:t xml:space="preserve">“) по проекта на процедура BG-RRP-7.008 - Широкомащабно разгръщане на цифрова инфраструктура на територията на България („Процедурата“), публикуван за обществено обсъждане на сайта на Информационната система за управление и наблюдение на средствата от ЕС в България 2020 (ИСУН 2020 (government.bg)). </w:t>
            </w:r>
          </w:p>
          <w:p w:rsidR="00574CB4" w:rsidRPr="00A616AC"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 xml:space="preserve">Предложенията на Юнайтед </w:t>
            </w:r>
            <w:proofErr w:type="spellStart"/>
            <w:r w:rsidRPr="00A616AC">
              <w:rPr>
                <w:rFonts w:ascii="Times New Roman" w:hAnsi="Times New Roman" w:cs="Times New Roman"/>
                <w:sz w:val="24"/>
                <w:szCs w:val="24"/>
              </w:rPr>
              <w:t>Файбър</w:t>
            </w:r>
            <w:proofErr w:type="spellEnd"/>
            <w:r w:rsidRPr="00A616AC">
              <w:rPr>
                <w:rFonts w:ascii="Times New Roman" w:hAnsi="Times New Roman" w:cs="Times New Roman"/>
                <w:sz w:val="24"/>
                <w:szCs w:val="24"/>
              </w:rPr>
              <w:t xml:space="preserve"> по отделните документи от Процедурата са следните:</w:t>
            </w:r>
          </w:p>
          <w:p w:rsidR="00574CB4" w:rsidRPr="00A616AC"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1.</w:t>
            </w:r>
            <w:r w:rsidRPr="00A616AC">
              <w:rPr>
                <w:rFonts w:ascii="Times New Roman" w:hAnsi="Times New Roman" w:cs="Times New Roman"/>
                <w:sz w:val="24"/>
                <w:szCs w:val="24"/>
              </w:rPr>
              <w:tab/>
              <w:t>В Раздел 11 „Допустими кандидати“</w:t>
            </w:r>
          </w:p>
          <w:p w:rsidR="00574CB4" w:rsidRPr="00A616AC"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1.1.1.</w:t>
            </w:r>
            <w:r w:rsidRPr="00A616AC">
              <w:rPr>
                <w:rFonts w:ascii="Times New Roman" w:hAnsi="Times New Roman" w:cs="Times New Roman"/>
                <w:sz w:val="24"/>
                <w:szCs w:val="24"/>
              </w:rPr>
              <w:tab/>
              <w:t xml:space="preserve">В последното изречение на т. 11.1 „Критерии за допустимост на кандидатите“ е предвидено, че във </w:t>
            </w:r>
            <w:r w:rsidRPr="00A616AC">
              <w:rPr>
                <w:rFonts w:ascii="Times New Roman" w:hAnsi="Times New Roman" w:cs="Times New Roman"/>
                <w:sz w:val="24"/>
                <w:szCs w:val="24"/>
              </w:rPr>
              <w:lastRenderedPageBreak/>
              <w:t xml:space="preserve">финансовия план следва да се прогнозират очакваните печалби за период от най-малко 20 години след приключване на проекта. В същото време, в края на въвеждащия текст на Раздел 14 „Категории разходи, допустими за финансиране“ е включена бележка „ВАЖНО“, според която предоставянето на средства по Механизма не може да има за резултат реализирането на печалба. </w:t>
            </w:r>
          </w:p>
          <w:p w:rsidR="00574CB4" w:rsidRPr="00A616AC"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Считаме за удачно да бъде направено разяснение, че е допустимо реализирането на печалба от предоставянето на достъп до изградената инфраструктура при условия, които са прозрачни, справедливи и недискриминационни и при цена, отговаряща на изискванията, предвидени за нея в т. 11.1 „Критерии за допустимост на кандидатите“.</w:t>
            </w:r>
          </w:p>
          <w:p w:rsidR="00574CB4" w:rsidRPr="00A616AC" w:rsidRDefault="00574CB4" w:rsidP="00884CAC">
            <w:pPr>
              <w:rPr>
                <w:rFonts w:ascii="Times New Roman" w:hAnsi="Times New Roman" w:cs="Times New Roman"/>
                <w:sz w:val="24"/>
                <w:szCs w:val="24"/>
              </w:rPr>
            </w:pPr>
          </w:p>
        </w:tc>
        <w:tc>
          <w:tcPr>
            <w:tcW w:w="4785" w:type="dxa"/>
            <w:tcBorders>
              <w:bottom w:val="single" w:sz="4" w:space="0" w:color="auto"/>
            </w:tcBorders>
          </w:tcPr>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574CB4" w:rsidRDefault="00574CB4" w:rsidP="0063298F">
            <w:pPr>
              <w:rPr>
                <w:rFonts w:ascii="Times New Roman" w:hAnsi="Times New Roman" w:cs="Times New Roman"/>
                <w:sz w:val="24"/>
                <w:szCs w:val="24"/>
              </w:rPr>
            </w:pPr>
          </w:p>
          <w:p w:rsidR="00FE70D2" w:rsidRDefault="00FE70D2" w:rsidP="0063298F">
            <w:pPr>
              <w:rPr>
                <w:rFonts w:ascii="Times New Roman" w:hAnsi="Times New Roman" w:cs="Times New Roman"/>
                <w:sz w:val="24"/>
                <w:szCs w:val="24"/>
              </w:rPr>
            </w:pPr>
          </w:p>
          <w:p w:rsidR="00574CB4" w:rsidRPr="00A616AC" w:rsidRDefault="00574CB4" w:rsidP="00375243">
            <w:pPr>
              <w:rPr>
                <w:rFonts w:ascii="Times New Roman" w:hAnsi="Times New Roman" w:cs="Times New Roman"/>
                <w:sz w:val="24"/>
                <w:szCs w:val="24"/>
              </w:rPr>
            </w:pPr>
            <w:r w:rsidRPr="00653D44">
              <w:rPr>
                <w:rFonts w:ascii="Times New Roman" w:hAnsi="Times New Roman" w:cs="Times New Roman"/>
                <w:sz w:val="24"/>
                <w:szCs w:val="24"/>
              </w:rPr>
              <w:t xml:space="preserve">Предоставянето на средства по </w:t>
            </w:r>
            <w:r>
              <w:rPr>
                <w:rFonts w:ascii="Times New Roman" w:hAnsi="Times New Roman" w:cs="Times New Roman"/>
                <w:sz w:val="24"/>
                <w:szCs w:val="24"/>
              </w:rPr>
              <w:t>Механизма за възстановяване и устойчивост (</w:t>
            </w:r>
            <w:r w:rsidRPr="00653D44">
              <w:rPr>
                <w:rFonts w:ascii="Times New Roman" w:hAnsi="Times New Roman" w:cs="Times New Roman"/>
                <w:sz w:val="24"/>
                <w:szCs w:val="24"/>
              </w:rPr>
              <w:t>МВУ</w:t>
            </w:r>
            <w:r>
              <w:rPr>
                <w:rFonts w:ascii="Times New Roman" w:hAnsi="Times New Roman" w:cs="Times New Roman"/>
                <w:sz w:val="24"/>
                <w:szCs w:val="24"/>
              </w:rPr>
              <w:t>)</w:t>
            </w:r>
            <w:r w:rsidRPr="00653D44">
              <w:rPr>
                <w:rFonts w:ascii="Times New Roman" w:hAnsi="Times New Roman" w:cs="Times New Roman"/>
                <w:sz w:val="24"/>
                <w:szCs w:val="24"/>
              </w:rPr>
              <w:t xml:space="preserve"> не </w:t>
            </w:r>
            <w:r w:rsidRPr="00653D44">
              <w:rPr>
                <w:rFonts w:ascii="Times New Roman" w:hAnsi="Times New Roman" w:cs="Times New Roman"/>
                <w:sz w:val="24"/>
                <w:szCs w:val="24"/>
              </w:rPr>
              <w:lastRenderedPageBreak/>
              <w:t xml:space="preserve">може да има за резултат печалба. Същевременно, за да се приеме проектът за жизнеспособен, той следва да не бъде на загуба. Съгласно правилата за държавни помощи, СНД е приело нормални нива на печалба, при чието надхвърляне ще се прилагат клаузи </w:t>
            </w:r>
            <w:r w:rsidR="00375243">
              <w:rPr>
                <w:rFonts w:ascii="Times New Roman" w:hAnsi="Times New Roman" w:cs="Times New Roman"/>
                <w:sz w:val="24"/>
                <w:szCs w:val="24"/>
              </w:rPr>
              <w:t xml:space="preserve">съгласно </w:t>
            </w:r>
            <w:r w:rsidRPr="00653D44">
              <w:rPr>
                <w:rFonts w:ascii="Times New Roman" w:hAnsi="Times New Roman" w:cs="Times New Roman"/>
                <w:sz w:val="24"/>
                <w:szCs w:val="24"/>
              </w:rPr>
              <w:t>механизм</w:t>
            </w:r>
            <w:r w:rsidR="00375243">
              <w:rPr>
                <w:rFonts w:ascii="Times New Roman" w:hAnsi="Times New Roman" w:cs="Times New Roman"/>
                <w:sz w:val="24"/>
                <w:szCs w:val="24"/>
              </w:rPr>
              <w:t>а</w:t>
            </w:r>
            <w:r w:rsidRPr="00653D44">
              <w:rPr>
                <w:rFonts w:ascii="Times New Roman" w:hAnsi="Times New Roman" w:cs="Times New Roman"/>
                <w:sz w:val="24"/>
                <w:szCs w:val="24"/>
              </w:rPr>
              <w:t xml:space="preserve"> за възвръща</w:t>
            </w:r>
            <w:r>
              <w:rPr>
                <w:rFonts w:ascii="Times New Roman" w:hAnsi="Times New Roman" w:cs="Times New Roman"/>
                <w:sz w:val="24"/>
                <w:szCs w:val="24"/>
              </w:rPr>
              <w:t>емост (</w:t>
            </w:r>
            <w:proofErr w:type="spellStart"/>
            <w:r w:rsidRPr="00653D44">
              <w:rPr>
                <w:rFonts w:ascii="Times New Roman" w:hAnsi="Times New Roman" w:cs="Times New Roman"/>
                <w:sz w:val="24"/>
                <w:szCs w:val="24"/>
              </w:rPr>
              <w:t>claw</w:t>
            </w:r>
            <w:proofErr w:type="spellEnd"/>
            <w:r w:rsidRPr="00653D44">
              <w:rPr>
                <w:rFonts w:ascii="Times New Roman" w:hAnsi="Times New Roman" w:cs="Times New Roman"/>
                <w:sz w:val="24"/>
                <w:szCs w:val="24"/>
              </w:rPr>
              <w:t xml:space="preserve"> </w:t>
            </w:r>
            <w:proofErr w:type="spellStart"/>
            <w:r w:rsidRPr="00653D44">
              <w:rPr>
                <w:rFonts w:ascii="Times New Roman" w:hAnsi="Times New Roman" w:cs="Times New Roman"/>
                <w:sz w:val="24"/>
                <w:szCs w:val="24"/>
              </w:rPr>
              <w:t>back</w:t>
            </w:r>
            <w:proofErr w:type="spellEnd"/>
            <w:r>
              <w:rPr>
                <w:rFonts w:ascii="Times New Roman" w:hAnsi="Times New Roman" w:cs="Times New Roman"/>
                <w:sz w:val="24"/>
                <w:szCs w:val="24"/>
              </w:rPr>
              <w:t>)</w:t>
            </w:r>
            <w:r w:rsidRPr="00653D44">
              <w:rPr>
                <w:rFonts w:ascii="Times New Roman" w:hAnsi="Times New Roman" w:cs="Times New Roman"/>
                <w:sz w:val="24"/>
                <w:szCs w:val="24"/>
              </w:rPr>
              <w:t>. В Приложение 14 подробно са разписани правила за ценообразуване и нива на печалба.</w:t>
            </w:r>
          </w:p>
        </w:tc>
      </w:tr>
      <w:tr w:rsidR="00574CB4" w:rsidRPr="00A616AC" w:rsidTr="006A203D">
        <w:tc>
          <w:tcPr>
            <w:tcW w:w="1296" w:type="dxa"/>
            <w:vMerge/>
          </w:tcPr>
          <w:p w:rsidR="00574CB4" w:rsidRPr="00A616AC" w:rsidRDefault="00574CB4">
            <w:pPr>
              <w:rPr>
                <w:rFonts w:ascii="Times New Roman" w:hAnsi="Times New Roman" w:cs="Times New Roman"/>
                <w:color w:val="333333"/>
                <w:sz w:val="24"/>
                <w:szCs w:val="24"/>
                <w:shd w:val="clear" w:color="auto" w:fill="FFFFFF"/>
              </w:rPr>
            </w:pPr>
          </w:p>
        </w:tc>
        <w:tc>
          <w:tcPr>
            <w:tcW w:w="1927" w:type="dxa"/>
            <w:vMerge/>
          </w:tcPr>
          <w:p w:rsidR="00574CB4" w:rsidRPr="00A616AC" w:rsidRDefault="00574CB4">
            <w:pPr>
              <w:rPr>
                <w:rFonts w:ascii="Times New Roman" w:hAnsi="Times New Roman" w:cs="Times New Roman"/>
                <w:color w:val="333333"/>
                <w:sz w:val="24"/>
                <w:szCs w:val="24"/>
                <w:shd w:val="clear" w:color="auto" w:fill="FFFFFF"/>
              </w:rPr>
            </w:pPr>
          </w:p>
        </w:tc>
        <w:tc>
          <w:tcPr>
            <w:tcW w:w="5986" w:type="dxa"/>
            <w:tcBorders>
              <w:bottom w:val="single" w:sz="4" w:space="0" w:color="auto"/>
            </w:tcBorders>
          </w:tcPr>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1.1.2.</w:t>
            </w:r>
            <w:r w:rsidRPr="00A616AC">
              <w:rPr>
                <w:rFonts w:ascii="Times New Roman" w:hAnsi="Times New Roman" w:cs="Times New Roman"/>
                <w:sz w:val="24"/>
                <w:szCs w:val="24"/>
              </w:rPr>
              <w:tab/>
              <w:t xml:space="preserve">В т. 11.1 „Критерии за допустимост на кандидатите“ е предвидено, следното квалификационно изискване към кандидатите: „За да може да кандидатства, участникът трябва да е извършвал дейности с предмет и обем, идентични или сходни с тези на процедурата, за период от последните три години от датата на подаване на офертата. Като минимално изискване може да се приеме, че участниците са извършили дейности, свързани с поддръжката и/или изграждането на електронна съобщителна инфраструктура с дължина най-малко 350 км и/или предоставянето на електронни съобщителни услуги. </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 xml:space="preserve">Нашето разбиране е, че не е необходимо дейности с такъв обем да са извършвани през целия тригодишен период преди подаване на офертата и че СНД ще </w:t>
            </w:r>
            <w:r w:rsidRPr="00A616AC">
              <w:rPr>
                <w:rFonts w:ascii="Times New Roman" w:hAnsi="Times New Roman" w:cs="Times New Roman"/>
                <w:sz w:val="24"/>
                <w:szCs w:val="24"/>
              </w:rPr>
              <w:lastRenderedPageBreak/>
              <w:t>констатира съответствие с посоченото квалификационно изискване при всеки кандидат, който е извършвал дейности с посочения обем, независимо от продължителността на тези дейности, при условие, че тази продължителност попада в периода на последните три години от датата на подаване на офертата. Предлагаме това да бъде изрично уточнено в текста на квалификационното изискване.</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Мотиви: Логиката на това изискване е да се докаже наличието на ресурси и способност на кандидата да извърши инвестицията, предмет на Процедурата. Считаме, че достатъчно доказателство за тези възможности е фактът на изпълнение на посочения обем дейности в период, близък до датата на подаване на офертата, независимо от конкретната им продължителност. В допълнение, подобно уточнение ще предотврати прекаленото ограничаване на кръга на потенциалните кандидати</w:t>
            </w:r>
          </w:p>
          <w:p w:rsidR="00574CB4" w:rsidRPr="00A616AC" w:rsidRDefault="00574CB4" w:rsidP="00884CAC">
            <w:pPr>
              <w:rPr>
                <w:rFonts w:ascii="Times New Roman" w:hAnsi="Times New Roman" w:cs="Times New Roman"/>
                <w:sz w:val="24"/>
                <w:szCs w:val="24"/>
              </w:rPr>
            </w:pPr>
          </w:p>
        </w:tc>
        <w:tc>
          <w:tcPr>
            <w:tcW w:w="4785" w:type="dxa"/>
            <w:tcBorders>
              <w:bottom w:val="single" w:sz="4" w:space="0" w:color="auto"/>
            </w:tcBorders>
          </w:tcPr>
          <w:p w:rsidR="00574CB4" w:rsidRPr="00A616AC" w:rsidRDefault="00574CB4" w:rsidP="00375243">
            <w:pPr>
              <w:rPr>
                <w:rFonts w:ascii="Times New Roman" w:hAnsi="Times New Roman" w:cs="Times New Roman"/>
                <w:sz w:val="24"/>
                <w:szCs w:val="24"/>
              </w:rPr>
            </w:pPr>
            <w:r w:rsidRPr="00AC470B">
              <w:rPr>
                <w:rFonts w:ascii="Times New Roman" w:hAnsi="Times New Roman" w:cs="Times New Roman"/>
                <w:sz w:val="24"/>
                <w:szCs w:val="24"/>
              </w:rPr>
              <w:lastRenderedPageBreak/>
              <w:t xml:space="preserve">Не се приема. </w:t>
            </w:r>
            <w:r w:rsidR="00375243">
              <w:rPr>
                <w:rFonts w:ascii="Times New Roman" w:hAnsi="Times New Roman" w:cs="Times New Roman"/>
                <w:sz w:val="24"/>
                <w:szCs w:val="24"/>
              </w:rPr>
              <w:t>Обръщаме внимание, че з</w:t>
            </w:r>
            <w:r w:rsidRPr="00AC470B">
              <w:rPr>
                <w:rFonts w:ascii="Times New Roman" w:hAnsi="Times New Roman" w:cs="Times New Roman"/>
                <w:sz w:val="24"/>
                <w:szCs w:val="24"/>
              </w:rPr>
              <w:t>аложеното условие се отнася за дейности извършени в период не по-дълъг от последните 3 години, т.е. може дейностите да са извършвани и само през последната година.</w:t>
            </w:r>
            <w:r>
              <w:rPr>
                <w:rFonts w:ascii="Times New Roman" w:hAnsi="Times New Roman" w:cs="Times New Roman"/>
                <w:sz w:val="24"/>
                <w:szCs w:val="24"/>
              </w:rPr>
              <w:t xml:space="preserve"> </w:t>
            </w:r>
          </w:p>
        </w:tc>
      </w:tr>
      <w:tr w:rsidR="00574CB4" w:rsidRPr="00A616AC" w:rsidTr="006A203D">
        <w:tc>
          <w:tcPr>
            <w:tcW w:w="1296" w:type="dxa"/>
            <w:vMerge/>
          </w:tcPr>
          <w:p w:rsidR="00574CB4" w:rsidRPr="00A616AC" w:rsidRDefault="00574CB4">
            <w:pPr>
              <w:rPr>
                <w:rFonts w:ascii="Times New Roman" w:hAnsi="Times New Roman" w:cs="Times New Roman"/>
                <w:color w:val="333333"/>
                <w:sz w:val="24"/>
                <w:szCs w:val="24"/>
                <w:shd w:val="clear" w:color="auto" w:fill="FFFFFF"/>
              </w:rPr>
            </w:pPr>
          </w:p>
        </w:tc>
        <w:tc>
          <w:tcPr>
            <w:tcW w:w="1927" w:type="dxa"/>
            <w:vMerge/>
          </w:tcPr>
          <w:p w:rsidR="00574CB4" w:rsidRPr="00A616AC" w:rsidRDefault="00574CB4">
            <w:pPr>
              <w:rPr>
                <w:rFonts w:ascii="Times New Roman" w:hAnsi="Times New Roman" w:cs="Times New Roman"/>
                <w:color w:val="333333"/>
                <w:sz w:val="24"/>
                <w:szCs w:val="24"/>
                <w:shd w:val="clear" w:color="auto" w:fill="FFFFFF"/>
              </w:rPr>
            </w:pPr>
          </w:p>
        </w:tc>
        <w:tc>
          <w:tcPr>
            <w:tcW w:w="5986" w:type="dxa"/>
            <w:tcBorders>
              <w:bottom w:val="single" w:sz="4" w:space="0" w:color="auto"/>
            </w:tcBorders>
          </w:tcPr>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2.</w:t>
            </w:r>
            <w:r w:rsidRPr="00A616AC">
              <w:rPr>
                <w:rFonts w:ascii="Times New Roman" w:hAnsi="Times New Roman" w:cs="Times New Roman"/>
                <w:sz w:val="24"/>
                <w:szCs w:val="24"/>
              </w:rPr>
              <w:tab/>
              <w:t xml:space="preserve">По документите „Условия за изпълнение“ </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2.1.</w:t>
            </w:r>
            <w:r w:rsidRPr="00A616AC">
              <w:rPr>
                <w:rFonts w:ascii="Times New Roman" w:hAnsi="Times New Roman" w:cs="Times New Roman"/>
                <w:sz w:val="24"/>
                <w:szCs w:val="24"/>
              </w:rPr>
              <w:tab/>
              <w:t>По Договора за финансиране:</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В чл. 6 от Договора за финансиране е предвидено, че банковата гаранция за изпълнение е в размер на платения по договора аванс и е със срок на валидност до 30.09.2026 г.</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 xml:space="preserve">Предлагаме условията за банковата гаранция да бъдат преразгледани, така че да се позволи гъвкавост в размера и срока на валидност. Считаме за подходящо всеки бенефициент да има свободата да определи сам размера на авансовото плащане, което претендира без да се надвишава определеният максимален размер от 20 </w:t>
            </w:r>
            <w:r w:rsidRPr="00A616AC">
              <w:rPr>
                <w:rFonts w:ascii="Times New Roman" w:hAnsi="Times New Roman" w:cs="Times New Roman"/>
                <w:sz w:val="24"/>
                <w:szCs w:val="24"/>
              </w:rPr>
              <w:lastRenderedPageBreak/>
              <w:t>%. Предлагаме да се допусне прилагане на следните условия:</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а)</w:t>
            </w:r>
            <w:r w:rsidRPr="00A616AC">
              <w:rPr>
                <w:rFonts w:ascii="Times New Roman" w:hAnsi="Times New Roman" w:cs="Times New Roman"/>
                <w:sz w:val="24"/>
                <w:szCs w:val="24"/>
              </w:rPr>
              <w:tab/>
              <w:t>Първоначалният размер на банковата гаранция да бъде в размера на поисканото от бенефициента авансово плащане;</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б)</w:t>
            </w:r>
            <w:r w:rsidRPr="00A616AC">
              <w:rPr>
                <w:rFonts w:ascii="Times New Roman" w:hAnsi="Times New Roman" w:cs="Times New Roman"/>
                <w:sz w:val="24"/>
                <w:szCs w:val="24"/>
              </w:rPr>
              <w:tab/>
              <w:t>Срокът на валидност на гаранцията да бъде 8 месеца или до отчитане на разходи в размер на получения аванс, което от двете настъпи по-рано;</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в)</w:t>
            </w:r>
            <w:r w:rsidRPr="00A616AC">
              <w:rPr>
                <w:rFonts w:ascii="Times New Roman" w:hAnsi="Times New Roman" w:cs="Times New Roman"/>
                <w:sz w:val="24"/>
                <w:szCs w:val="24"/>
              </w:rPr>
              <w:tab/>
              <w:t>След отчитане на разходи на стойност, равна на авансовото плащане, размерът на банковата гаранция да се редуцира до 5 %, какъвто е аналогичният стандарт по ЗОП.</w:t>
            </w:r>
          </w:p>
          <w:p w:rsidR="00574CB4" w:rsidRPr="00A616AC" w:rsidRDefault="00574CB4" w:rsidP="00884CAC">
            <w:pPr>
              <w:rPr>
                <w:rFonts w:ascii="Times New Roman" w:hAnsi="Times New Roman" w:cs="Times New Roman"/>
                <w:sz w:val="24"/>
                <w:szCs w:val="24"/>
              </w:rPr>
            </w:pPr>
          </w:p>
        </w:tc>
        <w:tc>
          <w:tcPr>
            <w:tcW w:w="4785" w:type="dxa"/>
            <w:tcBorders>
              <w:bottom w:val="single" w:sz="4" w:space="0" w:color="auto"/>
            </w:tcBorders>
          </w:tcPr>
          <w:p w:rsidR="00574CB4" w:rsidRPr="00AC470B" w:rsidRDefault="00574CB4" w:rsidP="00AC470B">
            <w:pPr>
              <w:rPr>
                <w:rFonts w:ascii="Times New Roman" w:hAnsi="Times New Roman" w:cs="Times New Roman"/>
                <w:sz w:val="24"/>
                <w:szCs w:val="24"/>
              </w:rPr>
            </w:pPr>
            <w:r w:rsidRPr="00AC470B">
              <w:rPr>
                <w:rFonts w:ascii="Times New Roman" w:hAnsi="Times New Roman" w:cs="Times New Roman"/>
                <w:sz w:val="24"/>
                <w:szCs w:val="24"/>
              </w:rPr>
              <w:lastRenderedPageBreak/>
              <w:t xml:space="preserve">Не се приема. В </w:t>
            </w:r>
            <w:r>
              <w:rPr>
                <w:rFonts w:ascii="Times New Roman" w:hAnsi="Times New Roman" w:cs="Times New Roman"/>
                <w:sz w:val="24"/>
                <w:szCs w:val="24"/>
              </w:rPr>
              <w:t xml:space="preserve">проекта на </w:t>
            </w:r>
            <w:r w:rsidRPr="00AC470B">
              <w:rPr>
                <w:rFonts w:ascii="Times New Roman" w:hAnsi="Times New Roman" w:cs="Times New Roman"/>
                <w:sz w:val="24"/>
                <w:szCs w:val="24"/>
              </w:rPr>
              <w:t xml:space="preserve">Договор е заложен размер на авансово плащане до 20%, в зависимост колко е </w:t>
            </w:r>
            <w:r w:rsidR="00EE7BB3">
              <w:rPr>
                <w:rFonts w:ascii="Times New Roman" w:hAnsi="Times New Roman" w:cs="Times New Roman"/>
                <w:sz w:val="24"/>
                <w:szCs w:val="24"/>
              </w:rPr>
              <w:t>заявил</w:t>
            </w:r>
            <w:r w:rsidRPr="00AC470B">
              <w:rPr>
                <w:rFonts w:ascii="Times New Roman" w:hAnsi="Times New Roman" w:cs="Times New Roman"/>
                <w:sz w:val="24"/>
                <w:szCs w:val="24"/>
              </w:rPr>
              <w:t xml:space="preserve"> съответния</w:t>
            </w:r>
            <w:r>
              <w:rPr>
                <w:rFonts w:ascii="Times New Roman" w:hAnsi="Times New Roman" w:cs="Times New Roman"/>
                <w:sz w:val="24"/>
                <w:szCs w:val="24"/>
              </w:rPr>
              <w:t>т</w:t>
            </w:r>
            <w:r w:rsidRPr="00AC470B">
              <w:rPr>
                <w:rFonts w:ascii="Times New Roman" w:hAnsi="Times New Roman" w:cs="Times New Roman"/>
                <w:sz w:val="24"/>
                <w:szCs w:val="24"/>
              </w:rPr>
              <w:t xml:space="preserve"> кандидат. Необходимостта от аванс и неговия размер следва да се предвиди от страна на кандидата в процеса на изготвяне на проектното предложение, като се отчете задължението за използване на тези суми съгласно чл. 5, ал. 3 от договора „(3) Авансовото плащане се използва от крайния получател единствено за плащания на допустимите разходи по инвестицията.“ СНД е заложило </w:t>
            </w:r>
            <w:r w:rsidRPr="00AC470B">
              <w:rPr>
                <w:rFonts w:ascii="Times New Roman" w:hAnsi="Times New Roman" w:cs="Times New Roman"/>
                <w:sz w:val="24"/>
                <w:szCs w:val="24"/>
              </w:rPr>
              <w:lastRenderedPageBreak/>
              <w:t xml:space="preserve">максимален праг на авансовото плащане и е предвидило, че банковата гаранция за изпълнение съответства на размера на получения аванс. Тази банкова гаранция ще се използва от СНД  при неизпълнение на задълженията на избрания </w:t>
            </w:r>
            <w:proofErr w:type="spellStart"/>
            <w:r w:rsidRPr="00AC470B">
              <w:rPr>
                <w:rFonts w:ascii="Times New Roman" w:hAnsi="Times New Roman" w:cs="Times New Roman"/>
                <w:sz w:val="24"/>
                <w:szCs w:val="24"/>
              </w:rPr>
              <w:t>бенефициер</w:t>
            </w:r>
            <w:proofErr w:type="spellEnd"/>
            <w:r w:rsidRPr="00AC470B">
              <w:rPr>
                <w:rFonts w:ascii="Times New Roman" w:hAnsi="Times New Roman" w:cs="Times New Roman"/>
                <w:sz w:val="24"/>
                <w:szCs w:val="24"/>
              </w:rPr>
              <w:t>.</w:t>
            </w:r>
          </w:p>
          <w:p w:rsidR="00574CB4" w:rsidRPr="00A616AC" w:rsidRDefault="00574CB4" w:rsidP="00AC470B">
            <w:pPr>
              <w:rPr>
                <w:rFonts w:ascii="Times New Roman" w:hAnsi="Times New Roman" w:cs="Times New Roman"/>
                <w:sz w:val="24"/>
                <w:szCs w:val="24"/>
              </w:rPr>
            </w:pPr>
            <w:r w:rsidRPr="00AC470B">
              <w:rPr>
                <w:rFonts w:ascii="Times New Roman" w:hAnsi="Times New Roman" w:cs="Times New Roman"/>
                <w:sz w:val="24"/>
                <w:szCs w:val="24"/>
              </w:rPr>
              <w:t>В тази връзка е и предвиденият срок на гаранцията до приключване на проекта.</w:t>
            </w:r>
          </w:p>
        </w:tc>
      </w:tr>
      <w:tr w:rsidR="00574CB4" w:rsidRPr="00A616AC" w:rsidTr="006A203D">
        <w:tc>
          <w:tcPr>
            <w:tcW w:w="1296" w:type="dxa"/>
            <w:vMerge/>
          </w:tcPr>
          <w:p w:rsidR="00574CB4" w:rsidRPr="00A616AC" w:rsidRDefault="00574CB4">
            <w:pPr>
              <w:rPr>
                <w:rFonts w:ascii="Times New Roman" w:hAnsi="Times New Roman" w:cs="Times New Roman"/>
                <w:color w:val="333333"/>
                <w:sz w:val="24"/>
                <w:szCs w:val="24"/>
                <w:shd w:val="clear" w:color="auto" w:fill="FFFFFF"/>
              </w:rPr>
            </w:pPr>
          </w:p>
        </w:tc>
        <w:tc>
          <w:tcPr>
            <w:tcW w:w="1927" w:type="dxa"/>
            <w:vMerge/>
          </w:tcPr>
          <w:p w:rsidR="00574CB4" w:rsidRPr="00A616AC" w:rsidRDefault="00574CB4">
            <w:pPr>
              <w:rPr>
                <w:rFonts w:ascii="Times New Roman" w:hAnsi="Times New Roman" w:cs="Times New Roman"/>
                <w:color w:val="333333"/>
                <w:sz w:val="24"/>
                <w:szCs w:val="24"/>
                <w:shd w:val="clear" w:color="auto" w:fill="FFFFFF"/>
              </w:rPr>
            </w:pPr>
          </w:p>
        </w:tc>
        <w:tc>
          <w:tcPr>
            <w:tcW w:w="5986" w:type="dxa"/>
            <w:tcBorders>
              <w:bottom w:val="single" w:sz="4" w:space="0" w:color="auto"/>
            </w:tcBorders>
          </w:tcPr>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2.2.</w:t>
            </w:r>
            <w:r w:rsidRPr="00A616AC">
              <w:rPr>
                <w:rFonts w:ascii="Times New Roman" w:hAnsi="Times New Roman" w:cs="Times New Roman"/>
                <w:sz w:val="24"/>
                <w:szCs w:val="24"/>
              </w:rPr>
              <w:tab/>
              <w:t>По Общите условия към договорите за финансиране</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 xml:space="preserve">В чл. 10.5 са уредени извънредните обстоятелства, които са основание за изключване на отговорността на страните по договора. </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 xml:space="preserve">Предлагаме към извънредните обстоятелства по посочената клауза да бъдат добавени и промени в нормативната уредба, както и всякакви административни забрани и забави, действия и бездействия на административни органи при издаването на актовете, необходими за законосъобразно извършване на строителните дейности. Във връзка с изключително кратките срокове на реализация на такъв мащабен проект, липсата на законодателни промени, които да улесняват изграждането, заложени в законопроект за изменение и допълнение Законопроект за изменение и допълнение на Закона за електронните съобщителни мрежи и физическа инфраструктура, приет от МС и внесен в НС </w:t>
            </w:r>
            <w:r w:rsidRPr="00A616AC">
              <w:rPr>
                <w:rFonts w:ascii="Times New Roman" w:hAnsi="Times New Roman" w:cs="Times New Roman"/>
                <w:sz w:val="24"/>
                <w:szCs w:val="24"/>
              </w:rPr>
              <w:lastRenderedPageBreak/>
              <w:t>51-402-01-2 от 02.12.2024  (https://www.parliament.bg/bg/bills/ID/165819) също следва да се включи към извънредните обстоятелства.</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 xml:space="preserve">Мотиви: Съгласно чл. 2, ал. 4 от Договора за финансиране инвестицията се счита за изпълнена на датата, на която информацията за изградената физическа инфраструктура и/или разположената електронна съобщителна мрежа бъде предоставена в ЕИТ, като към заявлението за регистрация крайният получател прилага документите за въвеждане в експлоатация по смисъла на ЗУТ, съответно информацията и протоколите по ЗЕСМФИ. Предвид изключително краткия срок за изпълнение на инвестицията (30.06.2026 г.) и зададения в процедурата значителен обем на работата, която следва да бъде извършена в този кратък срок, считаме за справедливо и целесъобразно да бъде отчетено, че спазването на този срок зависи от навременното провеждане от страна на държавната администрация на  всички процедури по разрешаване на строителството, издаване на съответните административни актове, необходими за законосъобразното изграждане и въвеждане в експлоатация на физическата инфраструктура и електронната съобщителна мрежа. Предвид тази зависимост от навременните действия на държавната и общинските администрации, предлагаме крайният получател да бъде освободен от отговорност, ако нужните административни действия не бъдат извършени в предвидените нормативни срокове. </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Предлагаме текстът на параграф втори на чл. 10.5 от Общите условия към договора за финансиране да бъде допълнен и да придобие следната редакция:</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lastRenderedPageBreak/>
              <w:t>„Извънредно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 Извънредно обстоятелство по отношение на крайния получател е всяко изменение в законодателството, възпрепятстващо строителството или отделни строителни дейности, административни забрани и забави, действия и бездействия на административни органи при издаването на актовете, необходими за законосъобразно извършване на строителните дейности.“</w:t>
            </w:r>
          </w:p>
          <w:p w:rsidR="00574CB4" w:rsidRPr="00A616AC" w:rsidRDefault="00574CB4" w:rsidP="00AC470B">
            <w:pPr>
              <w:rPr>
                <w:rFonts w:ascii="Times New Roman" w:hAnsi="Times New Roman" w:cs="Times New Roman"/>
                <w:sz w:val="24"/>
                <w:szCs w:val="24"/>
              </w:rPr>
            </w:pPr>
            <w:r w:rsidRPr="00A616AC">
              <w:rPr>
                <w:rFonts w:ascii="Times New Roman" w:hAnsi="Times New Roman" w:cs="Times New Roman"/>
                <w:sz w:val="24"/>
                <w:szCs w:val="24"/>
              </w:rPr>
              <w:t xml:space="preserve">„Извънредно обстоятелство по отношение на крайния получател е и </w:t>
            </w:r>
            <w:proofErr w:type="spellStart"/>
            <w:r w:rsidRPr="00A616AC">
              <w:rPr>
                <w:rFonts w:ascii="Times New Roman" w:hAnsi="Times New Roman" w:cs="Times New Roman"/>
                <w:sz w:val="24"/>
                <w:szCs w:val="24"/>
              </w:rPr>
              <w:t>неприемането</w:t>
            </w:r>
            <w:proofErr w:type="spellEnd"/>
            <w:r w:rsidRPr="00A616AC">
              <w:rPr>
                <w:rFonts w:ascii="Times New Roman" w:hAnsi="Times New Roman" w:cs="Times New Roman"/>
                <w:sz w:val="24"/>
                <w:szCs w:val="24"/>
              </w:rPr>
              <w:t xml:space="preserve"> от НС на Законопроект за изменение и допълнение на Закона за електронните съобщителни мрежи и физическа инфраструктура, приет от МС и внесен в НС 51-402-01-2 от 02.12.2024“</w:t>
            </w:r>
          </w:p>
          <w:p w:rsidR="00574CB4" w:rsidRPr="00A616AC" w:rsidRDefault="00574CB4" w:rsidP="00884CAC">
            <w:pPr>
              <w:rPr>
                <w:rFonts w:ascii="Times New Roman" w:hAnsi="Times New Roman" w:cs="Times New Roman"/>
                <w:sz w:val="24"/>
                <w:szCs w:val="24"/>
              </w:rPr>
            </w:pPr>
          </w:p>
        </w:tc>
        <w:tc>
          <w:tcPr>
            <w:tcW w:w="4785" w:type="dxa"/>
            <w:tcBorders>
              <w:bottom w:val="single" w:sz="4" w:space="0" w:color="auto"/>
            </w:tcBorders>
          </w:tcPr>
          <w:p w:rsidR="00574CB4" w:rsidRPr="00A616AC" w:rsidRDefault="00574CB4">
            <w:pPr>
              <w:rPr>
                <w:rFonts w:ascii="Times New Roman" w:hAnsi="Times New Roman" w:cs="Times New Roman"/>
                <w:sz w:val="24"/>
                <w:szCs w:val="24"/>
              </w:rPr>
            </w:pPr>
            <w:r w:rsidRPr="00AC470B">
              <w:rPr>
                <w:rFonts w:ascii="Times New Roman" w:hAnsi="Times New Roman" w:cs="Times New Roman"/>
                <w:sz w:val="24"/>
                <w:szCs w:val="24"/>
              </w:rPr>
              <w:lastRenderedPageBreak/>
              <w:t xml:space="preserve">Не се приема. Внесеният проект за ЗИД на ЗЕСМФИ няма пряко </w:t>
            </w:r>
            <w:proofErr w:type="spellStart"/>
            <w:r w:rsidRPr="00AC470B">
              <w:rPr>
                <w:rFonts w:ascii="Times New Roman" w:hAnsi="Times New Roman" w:cs="Times New Roman"/>
                <w:sz w:val="24"/>
                <w:szCs w:val="24"/>
              </w:rPr>
              <w:t>касателство</w:t>
            </w:r>
            <w:proofErr w:type="spellEnd"/>
            <w:r w:rsidRPr="00AC470B">
              <w:rPr>
                <w:rFonts w:ascii="Times New Roman" w:hAnsi="Times New Roman" w:cs="Times New Roman"/>
                <w:sz w:val="24"/>
                <w:szCs w:val="24"/>
              </w:rPr>
              <w:t xml:space="preserve"> към настоящата процедура. Несъмнено неговото приемане би улеснило изпълнението на проекта, но обръщаме внимание, че при подаване на проектното предложение потенциалните </w:t>
            </w:r>
            <w:proofErr w:type="spellStart"/>
            <w:r w:rsidRPr="00AC470B">
              <w:rPr>
                <w:rFonts w:ascii="Times New Roman" w:hAnsi="Times New Roman" w:cs="Times New Roman"/>
                <w:sz w:val="24"/>
                <w:szCs w:val="24"/>
              </w:rPr>
              <w:t>бенефициери</w:t>
            </w:r>
            <w:proofErr w:type="spellEnd"/>
            <w:r w:rsidRPr="00AC470B">
              <w:rPr>
                <w:rFonts w:ascii="Times New Roman" w:hAnsi="Times New Roman" w:cs="Times New Roman"/>
                <w:sz w:val="24"/>
                <w:szCs w:val="24"/>
              </w:rPr>
              <w:t xml:space="preserve"> следва да преценят възможностите си за изпълнение на подобни инвестиции.</w:t>
            </w:r>
          </w:p>
        </w:tc>
      </w:tr>
      <w:tr w:rsidR="00574CB4" w:rsidRPr="00A616AC" w:rsidTr="006A203D">
        <w:tc>
          <w:tcPr>
            <w:tcW w:w="1296" w:type="dxa"/>
            <w:vMerge/>
          </w:tcPr>
          <w:p w:rsidR="00574CB4" w:rsidRPr="00A616AC" w:rsidRDefault="00574CB4">
            <w:pPr>
              <w:rPr>
                <w:rFonts w:ascii="Times New Roman" w:hAnsi="Times New Roman" w:cs="Times New Roman"/>
                <w:color w:val="333333"/>
                <w:sz w:val="24"/>
                <w:szCs w:val="24"/>
                <w:shd w:val="clear" w:color="auto" w:fill="FFFFFF"/>
              </w:rPr>
            </w:pPr>
          </w:p>
        </w:tc>
        <w:tc>
          <w:tcPr>
            <w:tcW w:w="1927" w:type="dxa"/>
            <w:vMerge/>
          </w:tcPr>
          <w:p w:rsidR="00574CB4" w:rsidRPr="00A616AC" w:rsidRDefault="00574CB4">
            <w:pPr>
              <w:rPr>
                <w:rFonts w:ascii="Times New Roman" w:hAnsi="Times New Roman" w:cs="Times New Roman"/>
                <w:color w:val="333333"/>
                <w:sz w:val="24"/>
                <w:szCs w:val="24"/>
                <w:shd w:val="clear" w:color="auto" w:fill="FFFFFF"/>
              </w:rPr>
            </w:pPr>
          </w:p>
        </w:tc>
        <w:tc>
          <w:tcPr>
            <w:tcW w:w="5986" w:type="dxa"/>
            <w:tcBorders>
              <w:bottom w:val="single" w:sz="4" w:space="0" w:color="auto"/>
            </w:tcBorders>
          </w:tcPr>
          <w:p w:rsidR="00574CB4" w:rsidRDefault="00574CB4" w:rsidP="00884CAC">
            <w:pPr>
              <w:rPr>
                <w:rFonts w:ascii="Times New Roman" w:hAnsi="Times New Roman" w:cs="Times New Roman"/>
                <w:sz w:val="24"/>
                <w:szCs w:val="24"/>
              </w:rPr>
            </w:pPr>
            <w:r w:rsidRPr="00A616AC">
              <w:rPr>
                <w:rFonts w:ascii="Times New Roman" w:hAnsi="Times New Roman" w:cs="Times New Roman"/>
                <w:sz w:val="24"/>
                <w:szCs w:val="24"/>
              </w:rPr>
              <w:t>2.3.</w:t>
            </w:r>
            <w:r w:rsidRPr="00A616AC">
              <w:rPr>
                <w:rFonts w:ascii="Times New Roman" w:hAnsi="Times New Roman" w:cs="Times New Roman"/>
                <w:sz w:val="24"/>
                <w:szCs w:val="24"/>
              </w:rPr>
              <w:tab/>
              <w:t xml:space="preserve"> Приложение 15 съставлява Договор за предоставяне на право на ползване на тъмно влакно. Обръщаме внимание, че сред допустимите дейности и разходи е включено и правото на ползване на тръба, за което няма приложен типов договор</w:t>
            </w:r>
            <w:r w:rsidR="006F3991">
              <w:rPr>
                <w:rFonts w:ascii="Times New Roman" w:hAnsi="Times New Roman" w:cs="Times New Roman"/>
                <w:sz w:val="24"/>
                <w:szCs w:val="24"/>
              </w:rPr>
              <w:t>.</w:t>
            </w:r>
          </w:p>
          <w:p w:rsidR="006F3991" w:rsidRPr="00A616AC" w:rsidRDefault="006F3991" w:rsidP="00884CAC">
            <w:pPr>
              <w:rPr>
                <w:rFonts w:ascii="Times New Roman" w:hAnsi="Times New Roman" w:cs="Times New Roman"/>
                <w:sz w:val="24"/>
                <w:szCs w:val="24"/>
              </w:rPr>
            </w:pPr>
          </w:p>
        </w:tc>
        <w:tc>
          <w:tcPr>
            <w:tcW w:w="4785" w:type="dxa"/>
            <w:tcBorders>
              <w:bottom w:val="single" w:sz="4" w:space="0" w:color="auto"/>
            </w:tcBorders>
          </w:tcPr>
          <w:p w:rsidR="00574CB4" w:rsidRPr="00A616AC" w:rsidRDefault="00574CB4" w:rsidP="00EE7BB3">
            <w:pPr>
              <w:rPr>
                <w:rFonts w:ascii="Times New Roman" w:hAnsi="Times New Roman" w:cs="Times New Roman"/>
                <w:sz w:val="24"/>
                <w:szCs w:val="24"/>
              </w:rPr>
            </w:pPr>
            <w:r w:rsidRPr="00AC470B">
              <w:rPr>
                <w:rFonts w:ascii="Times New Roman" w:hAnsi="Times New Roman" w:cs="Times New Roman"/>
                <w:sz w:val="24"/>
                <w:szCs w:val="24"/>
              </w:rPr>
              <w:t xml:space="preserve">Приема се. Добавен е образец на Договор за предоставяне на право на ползване на </w:t>
            </w:r>
            <w:r w:rsidR="00EE7BB3">
              <w:rPr>
                <w:rFonts w:ascii="Times New Roman" w:hAnsi="Times New Roman" w:cs="Times New Roman"/>
                <w:sz w:val="24"/>
                <w:szCs w:val="24"/>
              </w:rPr>
              <w:t>тръба</w:t>
            </w:r>
            <w:r w:rsidRPr="00AC470B">
              <w:rPr>
                <w:rFonts w:ascii="Times New Roman" w:hAnsi="Times New Roman" w:cs="Times New Roman"/>
                <w:sz w:val="24"/>
                <w:szCs w:val="24"/>
              </w:rPr>
              <w:t>.</w:t>
            </w:r>
          </w:p>
        </w:tc>
      </w:tr>
      <w:tr w:rsidR="002F18D1" w:rsidRPr="00A616AC" w:rsidTr="006A203D">
        <w:tc>
          <w:tcPr>
            <w:tcW w:w="1296" w:type="dxa"/>
            <w:vMerge w:val="restart"/>
          </w:tcPr>
          <w:p w:rsidR="002F18D1" w:rsidRPr="00A616AC" w:rsidRDefault="002F18D1">
            <w:pPr>
              <w:rPr>
                <w:rFonts w:ascii="Times New Roman" w:hAnsi="Times New Roman" w:cs="Times New Roman"/>
                <w:sz w:val="24"/>
                <w:szCs w:val="24"/>
              </w:rPr>
            </w:pPr>
            <w:r w:rsidRPr="00A616AC">
              <w:rPr>
                <w:rFonts w:ascii="Times New Roman" w:hAnsi="Times New Roman" w:cs="Times New Roman"/>
                <w:color w:val="333333"/>
                <w:sz w:val="24"/>
                <w:szCs w:val="24"/>
                <w:shd w:val="clear" w:color="auto" w:fill="FFFFFF"/>
              </w:rPr>
              <w:t>03.01.2025</w:t>
            </w:r>
          </w:p>
        </w:tc>
        <w:tc>
          <w:tcPr>
            <w:tcW w:w="1927" w:type="dxa"/>
            <w:vMerge w:val="restart"/>
            <w:tcBorders>
              <w:right w:val="single" w:sz="4" w:space="0" w:color="auto"/>
            </w:tcBorders>
          </w:tcPr>
          <w:p w:rsidR="002F18D1" w:rsidRPr="00A616AC" w:rsidRDefault="002F18D1">
            <w:pPr>
              <w:rPr>
                <w:rFonts w:ascii="Times New Roman" w:hAnsi="Times New Roman" w:cs="Times New Roman"/>
                <w:sz w:val="24"/>
                <w:szCs w:val="24"/>
              </w:rPr>
            </w:pPr>
            <w:r w:rsidRPr="00A616AC">
              <w:rPr>
                <w:rFonts w:ascii="Times New Roman" w:hAnsi="Times New Roman" w:cs="Times New Roman"/>
                <w:color w:val="333333"/>
                <w:sz w:val="24"/>
                <w:szCs w:val="24"/>
                <w:shd w:val="clear" w:color="auto" w:fill="FFFFFF"/>
              </w:rPr>
              <w:t>BG-RRP-7.008-COM3</w:t>
            </w:r>
          </w:p>
        </w:tc>
        <w:tc>
          <w:tcPr>
            <w:tcW w:w="5986" w:type="dxa"/>
            <w:tcBorders>
              <w:top w:val="single" w:sz="4" w:space="0" w:color="auto"/>
              <w:left w:val="single" w:sz="4" w:space="0" w:color="auto"/>
              <w:right w:val="single" w:sz="4" w:space="0" w:color="auto"/>
            </w:tcBorders>
          </w:tcPr>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Становище на „ЦЕТИН България“ ЕАД и „</w:t>
            </w:r>
            <w:proofErr w:type="spellStart"/>
            <w:r w:rsidRPr="00A616AC">
              <w:rPr>
                <w:rFonts w:ascii="Times New Roman" w:hAnsi="Times New Roman" w:cs="Times New Roman"/>
                <w:sz w:val="24"/>
                <w:szCs w:val="24"/>
              </w:rPr>
              <w:t>Йеттел</w:t>
            </w:r>
            <w:proofErr w:type="spellEnd"/>
            <w:r w:rsidRPr="00A616AC">
              <w:rPr>
                <w:rFonts w:ascii="Times New Roman" w:hAnsi="Times New Roman" w:cs="Times New Roman"/>
                <w:sz w:val="24"/>
                <w:szCs w:val="24"/>
              </w:rPr>
              <w:t xml:space="preserve"> България“ ЕАД в обществено обсъждане на документация по процедура „BG-RRP-7.008 - </w:t>
            </w:r>
            <w:r w:rsidRPr="00A616AC">
              <w:rPr>
                <w:rFonts w:ascii="Times New Roman" w:hAnsi="Times New Roman" w:cs="Times New Roman"/>
                <w:sz w:val="24"/>
                <w:szCs w:val="24"/>
              </w:rPr>
              <w:lastRenderedPageBreak/>
              <w:t>Широкомащабно разгръщане на цифрова инфраструктура на територията на България“</w:t>
            </w:r>
          </w:p>
          <w:p w:rsidR="002F18D1" w:rsidRPr="00A616AC" w:rsidRDefault="002F18D1" w:rsidP="00884CAC">
            <w:pPr>
              <w:rPr>
                <w:rFonts w:ascii="Times New Roman" w:hAnsi="Times New Roman" w:cs="Times New Roman"/>
                <w:sz w:val="24"/>
                <w:szCs w:val="24"/>
              </w:rPr>
            </w:pP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ОT: „ЦЕТИН България“ ЕАД и „</w:t>
            </w:r>
            <w:proofErr w:type="spellStart"/>
            <w:r w:rsidRPr="00A616AC">
              <w:rPr>
                <w:rFonts w:ascii="Times New Roman" w:hAnsi="Times New Roman" w:cs="Times New Roman"/>
                <w:sz w:val="24"/>
                <w:szCs w:val="24"/>
              </w:rPr>
              <w:t>Йеттел</w:t>
            </w:r>
            <w:proofErr w:type="spellEnd"/>
            <w:r w:rsidRPr="00A616AC">
              <w:rPr>
                <w:rFonts w:ascii="Times New Roman" w:hAnsi="Times New Roman" w:cs="Times New Roman"/>
                <w:sz w:val="24"/>
                <w:szCs w:val="24"/>
              </w:rPr>
              <w:t xml:space="preserve"> България“ ЕАД, адрес: гр. София 1766, район „Младост“, ж.к. „Младост 4“, Бизнес Парк София, сграда 6</w:t>
            </w:r>
          </w:p>
          <w:p w:rsidR="002F18D1" w:rsidRPr="00A616AC" w:rsidRDefault="002F18D1" w:rsidP="00884CAC">
            <w:pPr>
              <w:rPr>
                <w:rFonts w:ascii="Times New Roman" w:hAnsi="Times New Roman" w:cs="Times New Roman"/>
                <w:sz w:val="24"/>
                <w:szCs w:val="24"/>
              </w:rPr>
            </w:pP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 xml:space="preserve">На първо място, бихме искали да подчертаем, че приветстваме инициативата за обявяване на процедура „BG-RRP-7.008 - Широкомащабно разгръщане на цифрова инфраструктура на територията на България“ (по-долу „Процедурата“ или „Документацията“), която много от населените места в Република България и техните жители очакваха през последните няколко години. Дълбоко вярваме, че тази Процедура, както и своевременно приемане на законодателни изменения за облекчаване и улесняване на процесите по изграждане и разгръщане на мрежи с много голям капацитет („МГКК“), залегнали в Законопроекта за изменение и допълнение на Закона за електронните съобщителни мрежи и физическа инфраструктура , ще подпомогнат значително процесите по преодоляване на „цифровото разделение“ в слабо населени и селски райони, както и ще допринесат за постигане на целите, поставени от Плана за възстановяване и устойчивост в контекста на цифровата свързаност.  </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С настоящото „ЦЕТИН България“ ЕАД и „</w:t>
            </w:r>
            <w:proofErr w:type="spellStart"/>
            <w:r w:rsidRPr="00A616AC">
              <w:rPr>
                <w:rFonts w:ascii="Times New Roman" w:hAnsi="Times New Roman" w:cs="Times New Roman"/>
                <w:sz w:val="24"/>
                <w:szCs w:val="24"/>
              </w:rPr>
              <w:t>Йеттел</w:t>
            </w:r>
            <w:proofErr w:type="spellEnd"/>
            <w:r w:rsidRPr="00A616AC">
              <w:rPr>
                <w:rFonts w:ascii="Times New Roman" w:hAnsi="Times New Roman" w:cs="Times New Roman"/>
                <w:sz w:val="24"/>
                <w:szCs w:val="24"/>
              </w:rPr>
              <w:t xml:space="preserve"> България“ ЕАД предоставят своето становище в общественото обсъждане на Документацията:  </w:t>
            </w:r>
          </w:p>
          <w:p w:rsidR="002F18D1" w:rsidRPr="00A616AC" w:rsidRDefault="002F18D1" w:rsidP="00884CAC">
            <w:pPr>
              <w:rPr>
                <w:rFonts w:ascii="Times New Roman" w:hAnsi="Times New Roman" w:cs="Times New Roman"/>
                <w:sz w:val="24"/>
                <w:szCs w:val="24"/>
              </w:rPr>
            </w:pP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1.</w:t>
            </w:r>
            <w:r w:rsidRPr="00A616AC">
              <w:rPr>
                <w:rFonts w:ascii="Times New Roman" w:hAnsi="Times New Roman" w:cs="Times New Roman"/>
                <w:sz w:val="24"/>
                <w:szCs w:val="24"/>
              </w:rPr>
              <w:tab/>
              <w:t xml:space="preserve">Предложение: След внимателен преглед и обследване на населените места, посочени в </w:t>
            </w:r>
            <w:r w:rsidRPr="00A616AC">
              <w:rPr>
                <w:rFonts w:ascii="Times New Roman" w:hAnsi="Times New Roman" w:cs="Times New Roman"/>
                <w:sz w:val="24"/>
                <w:szCs w:val="24"/>
              </w:rPr>
              <w:lastRenderedPageBreak/>
              <w:t xml:space="preserve">Приложение № 12 от Документацията, предлагаме отпадането на ограничен брой от тях във всеки от районите, на който е разделена страната за целите на Процедурата. Списък с конкретното им посочване е приложен към настоящото становище. </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 xml:space="preserve">Мотиви: Аргументите за това предложение са свързани с факта, че тези населените места имат изключително ограничено население, което ще допринесе маргинално за постигане на един от общите индикатори, свързани с подкрепата по линия на Механизма за възстановяване и устойчивост, а именно 350 000 души с достъп до услуги, основани на ММГК, предоставяни от технологично неутрална мрежа. От друга страна, релефът на ограничения брой населени места, които предлагаме да отпаднат, често планински, поставя под сериозно съмнение възможността за осигуряване на покритие на населението и територията им дори и със съществуващи базови станции, дори и при инсталиране на допълнително оборудване на последните. Те са значително отдалечени и от съществуваща подземна пасивна физическа инфраструктура, с която да се свържат и/или която може да бъде да бъде използвана за надграждане на оптична свързаност, а изграждането на значителен брой километри нова такава при съществуващата нормативна рамка в сферата на строителството на електронна съобщителна инфраструктура поставя под сериозен риск цялостното изпълнение на Механизма и постигането на самите индикатори на Процедурата в предвидените изключително кратки и амбициозни срокове. Всичко това поставя въпроса за целесъобразността и ефективността при разходване на публични средства за </w:t>
            </w:r>
            <w:r w:rsidRPr="00A616AC">
              <w:rPr>
                <w:rFonts w:ascii="Times New Roman" w:hAnsi="Times New Roman" w:cs="Times New Roman"/>
                <w:sz w:val="24"/>
                <w:szCs w:val="24"/>
              </w:rPr>
              <w:lastRenderedPageBreak/>
              <w:t>този изключително ограничен брой населени места, които съгласно изискванията на Документацията са задължителни за достигане от инфраструктурата, която ще бъде изградена и надградена по Процедурата.</w:t>
            </w:r>
          </w:p>
          <w:p w:rsidR="002F18D1" w:rsidRPr="00A616AC" w:rsidRDefault="002F18D1" w:rsidP="00884CAC">
            <w:pPr>
              <w:rPr>
                <w:rFonts w:ascii="Times New Roman" w:hAnsi="Times New Roman" w:cs="Times New Roman"/>
                <w:sz w:val="24"/>
                <w:szCs w:val="24"/>
              </w:rPr>
            </w:pPr>
          </w:p>
          <w:p w:rsidR="002F18D1" w:rsidRPr="00A616AC" w:rsidRDefault="002F18D1" w:rsidP="00884CAC">
            <w:pPr>
              <w:rPr>
                <w:rFonts w:ascii="Times New Roman" w:hAnsi="Times New Roman" w:cs="Times New Roman"/>
                <w:sz w:val="24"/>
                <w:szCs w:val="24"/>
              </w:rPr>
            </w:pP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 xml:space="preserve">Приложение към предложение по т. 1. Списък на населените места </w:t>
            </w:r>
          </w:p>
          <w:p w:rsidR="002F18D1" w:rsidRPr="00A616AC" w:rsidRDefault="002F18D1" w:rsidP="00884CAC">
            <w:pPr>
              <w:rPr>
                <w:rFonts w:ascii="Times New Roman" w:hAnsi="Times New Roman" w:cs="Times New Roman"/>
                <w:sz w:val="24"/>
                <w:szCs w:val="24"/>
              </w:rPr>
            </w:pP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 xml:space="preserve">В Северозападен район: </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19</w:t>
            </w:r>
            <w:r w:rsidRPr="00A616AC">
              <w:rPr>
                <w:rFonts w:ascii="Times New Roman" w:hAnsi="Times New Roman" w:cs="Times New Roman"/>
                <w:sz w:val="24"/>
                <w:szCs w:val="24"/>
              </w:rPr>
              <w:tab/>
              <w:t>Върбица</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44</w:t>
            </w:r>
            <w:r w:rsidRPr="00A616AC">
              <w:rPr>
                <w:rFonts w:ascii="Times New Roman" w:hAnsi="Times New Roman" w:cs="Times New Roman"/>
                <w:sz w:val="24"/>
                <w:szCs w:val="24"/>
              </w:rPr>
              <w:tab/>
              <w:t>Дъбова Махала</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49</w:t>
            </w:r>
            <w:r w:rsidRPr="00A616AC">
              <w:rPr>
                <w:rFonts w:ascii="Times New Roman" w:hAnsi="Times New Roman" w:cs="Times New Roman"/>
                <w:sz w:val="24"/>
                <w:szCs w:val="24"/>
              </w:rPr>
              <w:tab/>
              <w:t>Княжева Махала</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51</w:t>
            </w:r>
            <w:r w:rsidRPr="00A616AC">
              <w:rPr>
                <w:rFonts w:ascii="Times New Roman" w:hAnsi="Times New Roman" w:cs="Times New Roman"/>
                <w:sz w:val="24"/>
                <w:szCs w:val="24"/>
              </w:rPr>
              <w:tab/>
              <w:t>Коиловци</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92</w:t>
            </w:r>
            <w:r w:rsidRPr="00A616AC">
              <w:rPr>
                <w:rFonts w:ascii="Times New Roman" w:hAnsi="Times New Roman" w:cs="Times New Roman"/>
                <w:sz w:val="24"/>
                <w:szCs w:val="24"/>
              </w:rPr>
              <w:tab/>
              <w:t>Тополовец</w:t>
            </w:r>
          </w:p>
          <w:p w:rsidR="002F18D1" w:rsidRPr="00A616AC" w:rsidRDefault="002F18D1" w:rsidP="00884CAC">
            <w:pPr>
              <w:rPr>
                <w:rFonts w:ascii="Times New Roman" w:hAnsi="Times New Roman" w:cs="Times New Roman"/>
                <w:sz w:val="24"/>
                <w:szCs w:val="24"/>
              </w:rPr>
            </w:pP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 xml:space="preserve">В Северен Централен Район: </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24</w:t>
            </w:r>
            <w:r w:rsidRPr="00A616AC">
              <w:rPr>
                <w:rFonts w:ascii="Times New Roman" w:hAnsi="Times New Roman" w:cs="Times New Roman"/>
                <w:sz w:val="24"/>
                <w:szCs w:val="24"/>
              </w:rPr>
              <w:tab/>
              <w:t>Обретеник</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33</w:t>
            </w:r>
            <w:r w:rsidRPr="00A616AC">
              <w:rPr>
                <w:rFonts w:ascii="Times New Roman" w:hAnsi="Times New Roman" w:cs="Times New Roman"/>
                <w:sz w:val="24"/>
                <w:szCs w:val="24"/>
              </w:rPr>
              <w:tab/>
              <w:t>Руйно</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40</w:t>
            </w:r>
            <w:r w:rsidRPr="00A616AC">
              <w:rPr>
                <w:rFonts w:ascii="Times New Roman" w:hAnsi="Times New Roman" w:cs="Times New Roman"/>
                <w:sz w:val="24"/>
                <w:szCs w:val="24"/>
              </w:rPr>
              <w:tab/>
              <w:t>Стражец</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52</w:t>
            </w:r>
            <w:r w:rsidRPr="00A616AC">
              <w:rPr>
                <w:rFonts w:ascii="Times New Roman" w:hAnsi="Times New Roman" w:cs="Times New Roman"/>
                <w:sz w:val="24"/>
                <w:szCs w:val="24"/>
              </w:rPr>
              <w:tab/>
              <w:t>Ястребово</w:t>
            </w:r>
          </w:p>
          <w:p w:rsidR="002F18D1" w:rsidRPr="00A616AC" w:rsidRDefault="002F18D1" w:rsidP="00884CAC">
            <w:pPr>
              <w:rPr>
                <w:rFonts w:ascii="Times New Roman" w:hAnsi="Times New Roman" w:cs="Times New Roman"/>
                <w:sz w:val="24"/>
                <w:szCs w:val="24"/>
              </w:rPr>
            </w:pP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 xml:space="preserve">В Североизточен район: </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10</w:t>
            </w:r>
            <w:r w:rsidRPr="00A616AC">
              <w:rPr>
                <w:rFonts w:ascii="Times New Roman" w:hAnsi="Times New Roman" w:cs="Times New Roman"/>
                <w:sz w:val="24"/>
                <w:szCs w:val="24"/>
              </w:rPr>
              <w:tab/>
              <w:t>Гроздьово</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16</w:t>
            </w:r>
            <w:r w:rsidRPr="00A616AC">
              <w:rPr>
                <w:rFonts w:ascii="Times New Roman" w:hAnsi="Times New Roman" w:cs="Times New Roman"/>
                <w:sz w:val="24"/>
                <w:szCs w:val="24"/>
              </w:rPr>
              <w:tab/>
              <w:t>Изворско</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28</w:t>
            </w:r>
            <w:r w:rsidRPr="00A616AC">
              <w:rPr>
                <w:rFonts w:ascii="Times New Roman" w:hAnsi="Times New Roman" w:cs="Times New Roman"/>
                <w:sz w:val="24"/>
                <w:szCs w:val="24"/>
              </w:rPr>
              <w:tab/>
              <w:t>Светлен</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32</w:t>
            </w:r>
            <w:r w:rsidRPr="00A616AC">
              <w:rPr>
                <w:rFonts w:ascii="Times New Roman" w:hAnsi="Times New Roman" w:cs="Times New Roman"/>
                <w:sz w:val="24"/>
                <w:szCs w:val="24"/>
              </w:rPr>
              <w:tab/>
              <w:t>Стефаново</w:t>
            </w:r>
          </w:p>
          <w:p w:rsidR="002F18D1" w:rsidRPr="00A616AC" w:rsidRDefault="002F18D1" w:rsidP="00884CAC">
            <w:pPr>
              <w:rPr>
                <w:rFonts w:ascii="Times New Roman" w:hAnsi="Times New Roman" w:cs="Times New Roman"/>
                <w:sz w:val="24"/>
                <w:szCs w:val="24"/>
              </w:rPr>
            </w:pP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 xml:space="preserve">В Югоизточен район: </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8</w:t>
            </w:r>
            <w:r w:rsidRPr="00A616AC">
              <w:rPr>
                <w:rFonts w:ascii="Times New Roman" w:hAnsi="Times New Roman" w:cs="Times New Roman"/>
                <w:sz w:val="24"/>
                <w:szCs w:val="24"/>
              </w:rPr>
              <w:tab/>
              <w:t>Голямо Крушево</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9</w:t>
            </w:r>
            <w:r w:rsidRPr="00A616AC">
              <w:rPr>
                <w:rFonts w:ascii="Times New Roman" w:hAnsi="Times New Roman" w:cs="Times New Roman"/>
                <w:sz w:val="24"/>
                <w:szCs w:val="24"/>
              </w:rPr>
              <w:tab/>
              <w:t>Градец</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12</w:t>
            </w:r>
            <w:r w:rsidRPr="00A616AC">
              <w:rPr>
                <w:rFonts w:ascii="Times New Roman" w:hAnsi="Times New Roman" w:cs="Times New Roman"/>
                <w:sz w:val="24"/>
                <w:szCs w:val="24"/>
              </w:rPr>
              <w:tab/>
              <w:t>Добромир</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lastRenderedPageBreak/>
              <w:t>34</w:t>
            </w:r>
            <w:r w:rsidRPr="00A616AC">
              <w:rPr>
                <w:rFonts w:ascii="Times New Roman" w:hAnsi="Times New Roman" w:cs="Times New Roman"/>
                <w:sz w:val="24"/>
                <w:szCs w:val="24"/>
              </w:rPr>
              <w:tab/>
              <w:t>Сборище</w:t>
            </w:r>
          </w:p>
          <w:p w:rsidR="002F18D1" w:rsidRPr="00A616AC" w:rsidRDefault="002F18D1" w:rsidP="00884CAC">
            <w:pPr>
              <w:rPr>
                <w:rFonts w:ascii="Times New Roman" w:hAnsi="Times New Roman" w:cs="Times New Roman"/>
                <w:sz w:val="24"/>
                <w:szCs w:val="24"/>
              </w:rPr>
            </w:pP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 xml:space="preserve">В Югозападен район: </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8</w:t>
            </w:r>
            <w:r w:rsidRPr="00A616AC">
              <w:rPr>
                <w:rFonts w:ascii="Times New Roman" w:hAnsi="Times New Roman" w:cs="Times New Roman"/>
                <w:sz w:val="24"/>
                <w:szCs w:val="24"/>
              </w:rPr>
              <w:tab/>
              <w:t>Боголин</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28</w:t>
            </w:r>
            <w:r w:rsidRPr="00A616AC">
              <w:rPr>
                <w:rFonts w:ascii="Times New Roman" w:hAnsi="Times New Roman" w:cs="Times New Roman"/>
                <w:sz w:val="24"/>
                <w:szCs w:val="24"/>
              </w:rPr>
              <w:tab/>
              <w:t>Дъбница</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31</w:t>
            </w:r>
            <w:r w:rsidRPr="00A616AC">
              <w:rPr>
                <w:rFonts w:ascii="Times New Roman" w:hAnsi="Times New Roman" w:cs="Times New Roman"/>
                <w:sz w:val="24"/>
                <w:szCs w:val="24"/>
              </w:rPr>
              <w:tab/>
              <w:t>Искрец</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47</w:t>
            </w:r>
            <w:r w:rsidRPr="00A616AC">
              <w:rPr>
                <w:rFonts w:ascii="Times New Roman" w:hAnsi="Times New Roman" w:cs="Times New Roman"/>
                <w:sz w:val="24"/>
                <w:szCs w:val="24"/>
              </w:rPr>
              <w:tab/>
              <w:t>Ново Делчево</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50</w:t>
            </w:r>
            <w:r w:rsidRPr="00A616AC">
              <w:rPr>
                <w:rFonts w:ascii="Times New Roman" w:hAnsi="Times New Roman" w:cs="Times New Roman"/>
                <w:sz w:val="24"/>
                <w:szCs w:val="24"/>
              </w:rPr>
              <w:tab/>
              <w:t>Плетена</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61</w:t>
            </w:r>
            <w:r w:rsidRPr="00A616AC">
              <w:rPr>
                <w:rFonts w:ascii="Times New Roman" w:hAnsi="Times New Roman" w:cs="Times New Roman"/>
                <w:sz w:val="24"/>
                <w:szCs w:val="24"/>
              </w:rPr>
              <w:tab/>
              <w:t>Смолево</w:t>
            </w:r>
          </w:p>
          <w:p w:rsidR="002F18D1" w:rsidRPr="00A616AC" w:rsidRDefault="002F18D1" w:rsidP="00884CAC">
            <w:pPr>
              <w:rPr>
                <w:rFonts w:ascii="Times New Roman" w:hAnsi="Times New Roman" w:cs="Times New Roman"/>
                <w:sz w:val="24"/>
                <w:szCs w:val="24"/>
              </w:rPr>
            </w:pP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 xml:space="preserve">В Южен централен район: </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1</w:t>
            </w:r>
            <w:r w:rsidRPr="00A616AC">
              <w:rPr>
                <w:rFonts w:ascii="Times New Roman" w:hAnsi="Times New Roman" w:cs="Times New Roman"/>
                <w:sz w:val="24"/>
                <w:szCs w:val="24"/>
              </w:rPr>
              <w:tab/>
              <w:t>Алеко Константиново</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2</w:t>
            </w:r>
            <w:r w:rsidRPr="00A616AC">
              <w:rPr>
                <w:rFonts w:ascii="Times New Roman" w:hAnsi="Times New Roman" w:cs="Times New Roman"/>
                <w:sz w:val="24"/>
                <w:szCs w:val="24"/>
              </w:rPr>
              <w:tab/>
              <w:t>Анево</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21</w:t>
            </w:r>
            <w:r w:rsidRPr="00A616AC">
              <w:rPr>
                <w:rFonts w:ascii="Times New Roman" w:hAnsi="Times New Roman" w:cs="Times New Roman"/>
                <w:sz w:val="24"/>
                <w:szCs w:val="24"/>
              </w:rPr>
              <w:tab/>
              <w:t>Иганово</w:t>
            </w:r>
          </w:p>
          <w:p w:rsidR="002F18D1" w:rsidRPr="00A616AC" w:rsidRDefault="002F18D1" w:rsidP="00884CAC">
            <w:pPr>
              <w:rPr>
                <w:rFonts w:ascii="Times New Roman" w:hAnsi="Times New Roman" w:cs="Times New Roman"/>
                <w:sz w:val="24"/>
                <w:szCs w:val="24"/>
              </w:rPr>
            </w:pPr>
            <w:r w:rsidRPr="00A616AC">
              <w:rPr>
                <w:rFonts w:ascii="Times New Roman" w:hAnsi="Times New Roman" w:cs="Times New Roman"/>
                <w:sz w:val="24"/>
                <w:szCs w:val="24"/>
              </w:rPr>
              <w:t>31</w:t>
            </w:r>
            <w:r w:rsidRPr="00A616AC">
              <w:rPr>
                <w:rFonts w:ascii="Times New Roman" w:hAnsi="Times New Roman" w:cs="Times New Roman"/>
                <w:sz w:val="24"/>
                <w:szCs w:val="24"/>
              </w:rPr>
              <w:tab/>
              <w:t>Кърнаре</w:t>
            </w:r>
          </w:p>
        </w:tc>
        <w:tc>
          <w:tcPr>
            <w:tcW w:w="4785" w:type="dxa"/>
            <w:tcBorders>
              <w:top w:val="single" w:sz="4" w:space="0" w:color="auto"/>
              <w:left w:val="single" w:sz="4" w:space="0" w:color="auto"/>
              <w:right w:val="single" w:sz="4" w:space="0" w:color="auto"/>
            </w:tcBorders>
          </w:tcPr>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48079D" w:rsidRDefault="0048079D" w:rsidP="00B278C4">
            <w:pPr>
              <w:rPr>
                <w:rFonts w:ascii="Times New Roman" w:hAnsi="Times New Roman" w:cs="Times New Roman"/>
                <w:sz w:val="24"/>
                <w:szCs w:val="24"/>
              </w:rPr>
            </w:pPr>
          </w:p>
          <w:p w:rsidR="002F18D1" w:rsidRPr="00A616AC" w:rsidRDefault="002F18D1" w:rsidP="00D53882">
            <w:pPr>
              <w:rPr>
                <w:rFonts w:ascii="Times New Roman" w:hAnsi="Times New Roman" w:cs="Times New Roman"/>
                <w:sz w:val="24"/>
                <w:szCs w:val="24"/>
              </w:rPr>
            </w:pPr>
            <w:r w:rsidRPr="00B278C4">
              <w:rPr>
                <w:rFonts w:ascii="Times New Roman" w:hAnsi="Times New Roman" w:cs="Times New Roman"/>
                <w:sz w:val="24"/>
                <w:szCs w:val="24"/>
              </w:rPr>
              <w:lastRenderedPageBreak/>
              <w:t xml:space="preserve">Приема се. </w:t>
            </w:r>
            <w:r w:rsidR="00D53882">
              <w:rPr>
                <w:rFonts w:ascii="Times New Roman" w:hAnsi="Times New Roman" w:cs="Times New Roman"/>
                <w:sz w:val="24"/>
                <w:szCs w:val="24"/>
              </w:rPr>
              <w:t>СНД е извършило служебна проверка и е изключило посочените</w:t>
            </w:r>
            <w:bookmarkStart w:id="0" w:name="_GoBack"/>
            <w:bookmarkEnd w:id="0"/>
            <w:r w:rsidR="00D53882">
              <w:rPr>
                <w:rFonts w:ascii="Times New Roman" w:hAnsi="Times New Roman" w:cs="Times New Roman"/>
                <w:sz w:val="24"/>
                <w:szCs w:val="24"/>
              </w:rPr>
              <w:t xml:space="preserve"> населени места.</w:t>
            </w:r>
          </w:p>
        </w:tc>
      </w:tr>
      <w:tr w:rsidR="002F18D1" w:rsidRPr="00A616AC" w:rsidTr="006A203D">
        <w:tc>
          <w:tcPr>
            <w:tcW w:w="1296" w:type="dxa"/>
            <w:vMerge/>
          </w:tcPr>
          <w:p w:rsidR="002F18D1" w:rsidRPr="00A616AC" w:rsidRDefault="002F18D1">
            <w:pPr>
              <w:rPr>
                <w:rFonts w:ascii="Times New Roman" w:hAnsi="Times New Roman" w:cs="Times New Roman"/>
                <w:color w:val="333333"/>
                <w:sz w:val="24"/>
                <w:szCs w:val="24"/>
                <w:shd w:val="clear" w:color="auto" w:fill="FFFFFF"/>
              </w:rPr>
            </w:pPr>
          </w:p>
        </w:tc>
        <w:tc>
          <w:tcPr>
            <w:tcW w:w="1927" w:type="dxa"/>
            <w:vMerge/>
            <w:tcBorders>
              <w:right w:val="single" w:sz="4" w:space="0" w:color="auto"/>
            </w:tcBorders>
          </w:tcPr>
          <w:p w:rsidR="002F18D1" w:rsidRPr="00A616AC" w:rsidRDefault="002F18D1">
            <w:pPr>
              <w:rPr>
                <w:rFonts w:ascii="Times New Roman" w:hAnsi="Times New Roman" w:cs="Times New Roman"/>
                <w:color w:val="333333"/>
                <w:sz w:val="24"/>
                <w:szCs w:val="24"/>
                <w:shd w:val="clear" w:color="auto" w:fill="FFFFFF"/>
              </w:rPr>
            </w:pPr>
          </w:p>
        </w:tc>
        <w:tc>
          <w:tcPr>
            <w:tcW w:w="5986" w:type="dxa"/>
            <w:tcBorders>
              <w:left w:val="single" w:sz="4" w:space="0" w:color="auto"/>
            </w:tcBorders>
          </w:tcPr>
          <w:p w:rsidR="002F18D1" w:rsidRPr="00A616AC" w:rsidRDefault="002F18D1" w:rsidP="000D2A49">
            <w:pPr>
              <w:rPr>
                <w:rFonts w:ascii="Times New Roman" w:hAnsi="Times New Roman" w:cs="Times New Roman"/>
                <w:sz w:val="24"/>
                <w:szCs w:val="24"/>
              </w:rPr>
            </w:pPr>
            <w:r w:rsidRPr="00A616AC">
              <w:rPr>
                <w:rFonts w:ascii="Times New Roman" w:hAnsi="Times New Roman" w:cs="Times New Roman"/>
                <w:sz w:val="24"/>
                <w:szCs w:val="24"/>
              </w:rPr>
              <w:t>2.</w:t>
            </w:r>
            <w:r w:rsidRPr="00A616AC">
              <w:rPr>
                <w:rFonts w:ascii="Times New Roman" w:hAnsi="Times New Roman" w:cs="Times New Roman"/>
                <w:sz w:val="24"/>
                <w:szCs w:val="24"/>
              </w:rPr>
              <w:tab/>
              <w:t xml:space="preserve">Предложение: Предлагаме да се увеличи допустимия съгласно Процедурата процент на придобиване на съществуваща инфраструктура/мрежа (посочен на стр. 28 и в т. 14.2. „Допустими разходи“ от Условията за кандидатстване), респ. допустимият размер на разходите за закупуването й. </w:t>
            </w:r>
          </w:p>
          <w:p w:rsidR="002F18D1" w:rsidRPr="00A616AC" w:rsidRDefault="002F18D1" w:rsidP="000D2A49">
            <w:pPr>
              <w:rPr>
                <w:rFonts w:ascii="Times New Roman" w:hAnsi="Times New Roman" w:cs="Times New Roman"/>
                <w:sz w:val="24"/>
                <w:szCs w:val="24"/>
              </w:rPr>
            </w:pPr>
            <w:r w:rsidRPr="00A616AC">
              <w:rPr>
                <w:rFonts w:ascii="Times New Roman" w:hAnsi="Times New Roman" w:cs="Times New Roman"/>
                <w:sz w:val="24"/>
                <w:szCs w:val="24"/>
              </w:rPr>
              <w:t xml:space="preserve">Мотиви: В настоящата редакция на Документацията допустимият размер/дължина на съществуваща инфраструктура/мрежа, който/която участниците могат да закупят е до 10% от общо планираната за съответния район, като приемаме разходите за придобиване на съществуващи мрежи са съответстващите на тази дължина/размер. Изключително сложният към настоящия момент законодателен режим в сферата на изграждане на подземна физическа инфраструктура, съчетан с кратките срокове за реализация на Процедурата – до средата на 2026 г., излагат на </w:t>
            </w:r>
            <w:r w:rsidRPr="00A616AC">
              <w:rPr>
                <w:rFonts w:ascii="Times New Roman" w:hAnsi="Times New Roman" w:cs="Times New Roman"/>
                <w:sz w:val="24"/>
                <w:szCs w:val="24"/>
              </w:rPr>
              <w:lastRenderedPageBreak/>
              <w:t xml:space="preserve">сериозен риск възможността за своевременното й приключване. От друга страна, тази мярка би дала възможност на потенциалния бенефициент в даден район да закупи съществуваща инфраструктура и да използва по-лекия режим за надграждането й при постигане на основните индикатори в Процедурата. Така закупената съществуваща инфраструктура би могла ефективно да покрие части от </w:t>
            </w:r>
            <w:proofErr w:type="spellStart"/>
            <w:r w:rsidRPr="00A616AC">
              <w:rPr>
                <w:rFonts w:ascii="Times New Roman" w:hAnsi="Times New Roman" w:cs="Times New Roman"/>
                <w:sz w:val="24"/>
                <w:szCs w:val="24"/>
              </w:rPr>
              <w:t>холистично</w:t>
            </w:r>
            <w:proofErr w:type="spellEnd"/>
            <w:r w:rsidRPr="00A616AC">
              <w:rPr>
                <w:rFonts w:ascii="Times New Roman" w:hAnsi="Times New Roman" w:cs="Times New Roman"/>
                <w:sz w:val="24"/>
                <w:szCs w:val="24"/>
              </w:rPr>
              <w:t xml:space="preserve"> планираната на територията на съответния район, а и на цялата страна мрежа. По този начин осъществяването на Процедурата може да се случи в по-кратки срокове, със значително по-малко административни процеси, с по-малко разходи – последното се гарантира и от изискването в Документацията разходите за закупуването й да са значително по-ниски от тези за изграждане на нова инфраструктура, което гарантира ефективност при разходване на публични средства.</w:t>
            </w:r>
          </w:p>
          <w:p w:rsidR="002F18D1" w:rsidRPr="00A616AC" w:rsidRDefault="002F18D1" w:rsidP="00884CAC">
            <w:pPr>
              <w:rPr>
                <w:rFonts w:ascii="Times New Roman" w:hAnsi="Times New Roman" w:cs="Times New Roman"/>
                <w:sz w:val="24"/>
                <w:szCs w:val="24"/>
              </w:rPr>
            </w:pPr>
          </w:p>
        </w:tc>
        <w:tc>
          <w:tcPr>
            <w:tcW w:w="4785" w:type="dxa"/>
            <w:tcBorders>
              <w:right w:val="single" w:sz="4" w:space="0" w:color="auto"/>
            </w:tcBorders>
          </w:tcPr>
          <w:p w:rsidR="002F18D1" w:rsidRPr="00A616AC" w:rsidRDefault="002F18D1" w:rsidP="00580548">
            <w:pPr>
              <w:rPr>
                <w:rFonts w:ascii="Times New Roman" w:hAnsi="Times New Roman" w:cs="Times New Roman"/>
                <w:sz w:val="24"/>
                <w:szCs w:val="24"/>
              </w:rPr>
            </w:pPr>
            <w:r w:rsidRPr="000D2A49">
              <w:rPr>
                <w:rFonts w:ascii="Times New Roman" w:hAnsi="Times New Roman" w:cs="Times New Roman"/>
                <w:sz w:val="24"/>
                <w:szCs w:val="24"/>
              </w:rPr>
              <w:lastRenderedPageBreak/>
              <w:t>Не се приема. В документац</w:t>
            </w:r>
            <w:r>
              <w:rPr>
                <w:rFonts w:ascii="Times New Roman" w:hAnsi="Times New Roman" w:cs="Times New Roman"/>
                <w:sz w:val="24"/>
                <w:szCs w:val="24"/>
              </w:rPr>
              <w:t>ията е описано, че е допустимо з</w:t>
            </w:r>
            <w:r w:rsidRPr="000D2A49">
              <w:rPr>
                <w:rFonts w:ascii="Times New Roman" w:hAnsi="Times New Roman" w:cs="Times New Roman"/>
                <w:sz w:val="24"/>
                <w:szCs w:val="24"/>
              </w:rPr>
              <w:t>акупуване на съществуваща инфраструктура, в случай че се докаже, че разходите са значително по-ниски от тези за изграждане на нова и дължината на тази инфраструктура не надхвърля 10% от общо планираната за съответния район. Условието, поставено от СНД, е свързано с дължината на инфраструктурата, която е планирано да бъде придобита, като не с</w:t>
            </w:r>
            <w:r>
              <w:rPr>
                <w:rFonts w:ascii="Times New Roman" w:hAnsi="Times New Roman" w:cs="Times New Roman"/>
                <w:sz w:val="24"/>
                <w:szCs w:val="24"/>
              </w:rPr>
              <w:t>а</w:t>
            </w:r>
            <w:r w:rsidRPr="000D2A49">
              <w:rPr>
                <w:rFonts w:ascii="Times New Roman" w:hAnsi="Times New Roman" w:cs="Times New Roman"/>
                <w:sz w:val="24"/>
                <w:szCs w:val="24"/>
              </w:rPr>
              <w:t xml:space="preserve"> залагани финансови условия. Целта на процедурата е изграждането на нова свързаност и предвидената възможност за закупуване следва да се третира като спомагателна инициатива към основната.</w:t>
            </w:r>
          </w:p>
        </w:tc>
      </w:tr>
      <w:tr w:rsidR="002F18D1" w:rsidRPr="00A616AC" w:rsidTr="006A203D">
        <w:tc>
          <w:tcPr>
            <w:tcW w:w="1296" w:type="dxa"/>
            <w:vMerge/>
          </w:tcPr>
          <w:p w:rsidR="002F18D1" w:rsidRPr="00A616AC" w:rsidRDefault="002F18D1">
            <w:pPr>
              <w:rPr>
                <w:rFonts w:ascii="Times New Roman" w:hAnsi="Times New Roman" w:cs="Times New Roman"/>
                <w:color w:val="333333"/>
                <w:sz w:val="24"/>
                <w:szCs w:val="24"/>
                <w:shd w:val="clear" w:color="auto" w:fill="FFFFFF"/>
              </w:rPr>
            </w:pPr>
          </w:p>
        </w:tc>
        <w:tc>
          <w:tcPr>
            <w:tcW w:w="1927" w:type="dxa"/>
            <w:vMerge/>
            <w:tcBorders>
              <w:right w:val="single" w:sz="4" w:space="0" w:color="auto"/>
            </w:tcBorders>
          </w:tcPr>
          <w:p w:rsidR="002F18D1" w:rsidRPr="00A616AC" w:rsidRDefault="002F18D1">
            <w:pPr>
              <w:rPr>
                <w:rFonts w:ascii="Times New Roman" w:hAnsi="Times New Roman" w:cs="Times New Roman"/>
                <w:color w:val="333333"/>
                <w:sz w:val="24"/>
                <w:szCs w:val="24"/>
                <w:shd w:val="clear" w:color="auto" w:fill="FFFFFF"/>
              </w:rPr>
            </w:pPr>
          </w:p>
        </w:tc>
        <w:tc>
          <w:tcPr>
            <w:tcW w:w="5986" w:type="dxa"/>
            <w:tcBorders>
              <w:left w:val="single" w:sz="4" w:space="0" w:color="auto"/>
            </w:tcBorders>
          </w:tcPr>
          <w:p w:rsidR="002F18D1" w:rsidRPr="00A616AC" w:rsidRDefault="002F18D1" w:rsidP="000D2A49">
            <w:pPr>
              <w:rPr>
                <w:rFonts w:ascii="Times New Roman" w:hAnsi="Times New Roman" w:cs="Times New Roman"/>
                <w:sz w:val="24"/>
                <w:szCs w:val="24"/>
              </w:rPr>
            </w:pPr>
            <w:r w:rsidRPr="00A616AC">
              <w:rPr>
                <w:rFonts w:ascii="Times New Roman" w:hAnsi="Times New Roman" w:cs="Times New Roman"/>
                <w:sz w:val="24"/>
                <w:szCs w:val="24"/>
              </w:rPr>
              <w:t>3.</w:t>
            </w:r>
            <w:r w:rsidRPr="00A616AC">
              <w:rPr>
                <w:rFonts w:ascii="Times New Roman" w:hAnsi="Times New Roman" w:cs="Times New Roman"/>
                <w:sz w:val="24"/>
                <w:szCs w:val="24"/>
              </w:rPr>
              <w:tab/>
              <w:t xml:space="preserve">Предложение: Предлагаме прецизиране на определението „празни“ в т. 3.5 от Приложение № 14 (стр. 30) към Условията за кандидатстване, </w:t>
            </w:r>
            <w:proofErr w:type="spellStart"/>
            <w:r w:rsidRPr="00A616AC">
              <w:rPr>
                <w:rFonts w:ascii="Times New Roman" w:hAnsi="Times New Roman" w:cs="Times New Roman"/>
                <w:sz w:val="24"/>
                <w:szCs w:val="24"/>
              </w:rPr>
              <w:t>относимо</w:t>
            </w:r>
            <w:proofErr w:type="spellEnd"/>
            <w:r w:rsidRPr="00A616AC">
              <w:rPr>
                <w:rFonts w:ascii="Times New Roman" w:hAnsi="Times New Roman" w:cs="Times New Roman"/>
                <w:sz w:val="24"/>
                <w:szCs w:val="24"/>
              </w:rPr>
              <w:t xml:space="preserve"> към тръбите (съществуващата физическа инфраструктура), които подлежат на </w:t>
            </w:r>
            <w:proofErr w:type="spellStart"/>
            <w:r w:rsidRPr="00A616AC">
              <w:rPr>
                <w:rFonts w:ascii="Times New Roman" w:hAnsi="Times New Roman" w:cs="Times New Roman"/>
                <w:sz w:val="24"/>
                <w:szCs w:val="24"/>
              </w:rPr>
              <w:t>преизползване</w:t>
            </w:r>
            <w:proofErr w:type="spellEnd"/>
            <w:r w:rsidRPr="00A616AC">
              <w:rPr>
                <w:rFonts w:ascii="Times New Roman" w:hAnsi="Times New Roman" w:cs="Times New Roman"/>
                <w:sz w:val="24"/>
                <w:szCs w:val="24"/>
              </w:rPr>
              <w:t>, като същото бъде заменено с термина „с достатъчен свободен капацитет“</w:t>
            </w:r>
          </w:p>
          <w:p w:rsidR="002F18D1" w:rsidRPr="00A616AC" w:rsidRDefault="002F18D1" w:rsidP="000D2A49">
            <w:pPr>
              <w:rPr>
                <w:rFonts w:ascii="Times New Roman" w:hAnsi="Times New Roman" w:cs="Times New Roman"/>
                <w:sz w:val="24"/>
                <w:szCs w:val="24"/>
              </w:rPr>
            </w:pPr>
            <w:r w:rsidRPr="00A616AC">
              <w:rPr>
                <w:rFonts w:ascii="Times New Roman" w:hAnsi="Times New Roman" w:cs="Times New Roman"/>
                <w:sz w:val="24"/>
                <w:szCs w:val="24"/>
              </w:rPr>
              <w:t xml:space="preserve">Мотиви: В изречението: „Потенциалните </w:t>
            </w:r>
            <w:proofErr w:type="spellStart"/>
            <w:r w:rsidRPr="00A616AC">
              <w:rPr>
                <w:rFonts w:ascii="Times New Roman" w:hAnsi="Times New Roman" w:cs="Times New Roman"/>
                <w:sz w:val="24"/>
                <w:szCs w:val="24"/>
              </w:rPr>
              <w:t>бенефициери</w:t>
            </w:r>
            <w:proofErr w:type="spellEnd"/>
            <w:r w:rsidRPr="00A616AC">
              <w:rPr>
                <w:rFonts w:ascii="Times New Roman" w:hAnsi="Times New Roman" w:cs="Times New Roman"/>
                <w:sz w:val="24"/>
                <w:szCs w:val="24"/>
              </w:rPr>
              <w:t xml:space="preserve"> са задължени да </w:t>
            </w:r>
            <w:proofErr w:type="spellStart"/>
            <w:r w:rsidRPr="00A616AC">
              <w:rPr>
                <w:rFonts w:ascii="Times New Roman" w:hAnsi="Times New Roman" w:cs="Times New Roman"/>
                <w:sz w:val="24"/>
                <w:szCs w:val="24"/>
              </w:rPr>
              <w:t>преизползват</w:t>
            </w:r>
            <w:proofErr w:type="spellEnd"/>
            <w:r w:rsidRPr="00A616AC">
              <w:rPr>
                <w:rFonts w:ascii="Times New Roman" w:hAnsi="Times New Roman" w:cs="Times New Roman"/>
                <w:sz w:val="24"/>
                <w:szCs w:val="24"/>
              </w:rPr>
              <w:t xml:space="preserve"> съществуващите мрежи, когато е обективно възможно и икономически най-изгодно или да изтеглят кабел в съществуващите празни тръби в съответствие с етап К7.Р3: Създаване на благоприятна инвестиционна среда, или чрез извеждане </w:t>
            </w:r>
            <w:r w:rsidRPr="00A616AC">
              <w:rPr>
                <w:rFonts w:ascii="Times New Roman" w:hAnsi="Times New Roman" w:cs="Times New Roman"/>
                <w:sz w:val="24"/>
                <w:szCs w:val="24"/>
              </w:rPr>
              <w:lastRenderedPageBreak/>
              <w:t xml:space="preserve">от експлоатация на медни мрежи или значително по-стари оптични влакна, който вече не се използват. За да се избегне превръщането на субсидираната преносна мрежа в т.нар. тясно място, капацитетът на съществуващите мрежи и физическата инфраструктура ще бъдат значително увеличени, за да се насърчи разгръщането на ефективни нови мрежи.“, предлагаме вместо „празни тръби“ да се посочи „тръби с достатъчен свободен капацитет“. Следва да се отбележи, че ако съществуващата тръба (физическа инфраструктура) има достатъчен капацитет за разполагане на нов кабел, то тя може да се </w:t>
            </w:r>
            <w:proofErr w:type="spellStart"/>
            <w:r w:rsidRPr="00A616AC">
              <w:rPr>
                <w:rFonts w:ascii="Times New Roman" w:hAnsi="Times New Roman" w:cs="Times New Roman"/>
                <w:sz w:val="24"/>
                <w:szCs w:val="24"/>
              </w:rPr>
              <w:t>преизползва</w:t>
            </w:r>
            <w:proofErr w:type="spellEnd"/>
            <w:r w:rsidRPr="00A616AC">
              <w:rPr>
                <w:rFonts w:ascii="Times New Roman" w:hAnsi="Times New Roman" w:cs="Times New Roman"/>
                <w:sz w:val="24"/>
                <w:szCs w:val="24"/>
              </w:rPr>
              <w:t xml:space="preserve"> в съответствие с посоченото, независимо че не е напълно празна. В допълнение, обективно е доста малка вероятността да има съществува физическа инфраструктура, която да не се ползва и тръбата да е изцяло празна.</w:t>
            </w:r>
          </w:p>
          <w:p w:rsidR="002F18D1" w:rsidRPr="00A616AC" w:rsidRDefault="002F18D1" w:rsidP="00884CAC">
            <w:pPr>
              <w:rPr>
                <w:rFonts w:ascii="Times New Roman" w:hAnsi="Times New Roman" w:cs="Times New Roman"/>
                <w:sz w:val="24"/>
                <w:szCs w:val="24"/>
              </w:rPr>
            </w:pPr>
          </w:p>
        </w:tc>
        <w:tc>
          <w:tcPr>
            <w:tcW w:w="4785" w:type="dxa"/>
            <w:tcBorders>
              <w:right w:val="single" w:sz="4" w:space="0" w:color="auto"/>
            </w:tcBorders>
          </w:tcPr>
          <w:p w:rsidR="002F18D1" w:rsidRPr="00A616AC" w:rsidRDefault="002F18D1">
            <w:pPr>
              <w:rPr>
                <w:rFonts w:ascii="Times New Roman" w:hAnsi="Times New Roman" w:cs="Times New Roman"/>
                <w:sz w:val="24"/>
                <w:szCs w:val="24"/>
              </w:rPr>
            </w:pPr>
            <w:r w:rsidRPr="000D2A49">
              <w:rPr>
                <w:rFonts w:ascii="Times New Roman" w:hAnsi="Times New Roman" w:cs="Times New Roman"/>
                <w:sz w:val="24"/>
                <w:szCs w:val="24"/>
              </w:rPr>
              <w:lastRenderedPageBreak/>
              <w:t>Приема се. Отразено е.</w:t>
            </w:r>
          </w:p>
        </w:tc>
      </w:tr>
      <w:tr w:rsidR="002F18D1" w:rsidRPr="00A616AC" w:rsidTr="006A203D">
        <w:tc>
          <w:tcPr>
            <w:tcW w:w="1296" w:type="dxa"/>
            <w:vMerge/>
          </w:tcPr>
          <w:p w:rsidR="002F18D1" w:rsidRPr="00A616AC" w:rsidRDefault="002F18D1">
            <w:pPr>
              <w:rPr>
                <w:rFonts w:ascii="Times New Roman" w:hAnsi="Times New Roman" w:cs="Times New Roman"/>
                <w:color w:val="333333"/>
                <w:sz w:val="24"/>
                <w:szCs w:val="24"/>
                <w:shd w:val="clear" w:color="auto" w:fill="FFFFFF"/>
              </w:rPr>
            </w:pPr>
          </w:p>
        </w:tc>
        <w:tc>
          <w:tcPr>
            <w:tcW w:w="1927" w:type="dxa"/>
            <w:vMerge/>
            <w:tcBorders>
              <w:right w:val="single" w:sz="4" w:space="0" w:color="auto"/>
            </w:tcBorders>
          </w:tcPr>
          <w:p w:rsidR="002F18D1" w:rsidRPr="00A616AC" w:rsidRDefault="002F18D1">
            <w:pPr>
              <w:rPr>
                <w:rFonts w:ascii="Times New Roman" w:hAnsi="Times New Roman" w:cs="Times New Roman"/>
                <w:color w:val="333333"/>
                <w:sz w:val="24"/>
                <w:szCs w:val="24"/>
                <w:shd w:val="clear" w:color="auto" w:fill="FFFFFF"/>
              </w:rPr>
            </w:pPr>
          </w:p>
        </w:tc>
        <w:tc>
          <w:tcPr>
            <w:tcW w:w="5986" w:type="dxa"/>
            <w:tcBorders>
              <w:left w:val="single" w:sz="4" w:space="0" w:color="auto"/>
            </w:tcBorders>
          </w:tcPr>
          <w:p w:rsidR="002F18D1" w:rsidRPr="00A616AC" w:rsidRDefault="002F18D1" w:rsidP="000D2A49">
            <w:pPr>
              <w:rPr>
                <w:rFonts w:ascii="Times New Roman" w:hAnsi="Times New Roman" w:cs="Times New Roman"/>
                <w:sz w:val="24"/>
                <w:szCs w:val="24"/>
              </w:rPr>
            </w:pPr>
            <w:r w:rsidRPr="00A616AC">
              <w:rPr>
                <w:rFonts w:ascii="Times New Roman" w:hAnsi="Times New Roman" w:cs="Times New Roman"/>
                <w:sz w:val="24"/>
                <w:szCs w:val="24"/>
              </w:rPr>
              <w:t>4.</w:t>
            </w:r>
            <w:r w:rsidRPr="00A616AC">
              <w:rPr>
                <w:rFonts w:ascii="Times New Roman" w:hAnsi="Times New Roman" w:cs="Times New Roman"/>
                <w:sz w:val="24"/>
                <w:szCs w:val="24"/>
              </w:rPr>
              <w:tab/>
              <w:t>Предложение: В т. 3.8 „Принципи на ценообразуване“ от Приложение № 14 (стр. 33) относно определянето на цената на едро за достъп изразът „</w:t>
            </w:r>
            <w:proofErr w:type="spellStart"/>
            <w:r w:rsidRPr="00A616AC">
              <w:rPr>
                <w:rFonts w:ascii="Times New Roman" w:hAnsi="Times New Roman" w:cs="Times New Roman"/>
                <w:sz w:val="24"/>
                <w:szCs w:val="24"/>
              </w:rPr>
              <w:t>новоизградената</w:t>
            </w:r>
            <w:proofErr w:type="spellEnd"/>
            <w:r w:rsidRPr="00A616AC">
              <w:rPr>
                <w:rFonts w:ascii="Times New Roman" w:hAnsi="Times New Roman" w:cs="Times New Roman"/>
                <w:sz w:val="24"/>
                <w:szCs w:val="24"/>
              </w:rPr>
              <w:t xml:space="preserve"> мрежа“ да бъде заменен с „</w:t>
            </w:r>
            <w:proofErr w:type="spellStart"/>
            <w:r w:rsidRPr="00A616AC">
              <w:rPr>
                <w:rFonts w:ascii="Times New Roman" w:hAnsi="Times New Roman" w:cs="Times New Roman"/>
                <w:sz w:val="24"/>
                <w:szCs w:val="24"/>
              </w:rPr>
              <w:t>новоизградената</w:t>
            </w:r>
            <w:proofErr w:type="spellEnd"/>
            <w:r w:rsidRPr="00A616AC">
              <w:rPr>
                <w:rFonts w:ascii="Times New Roman" w:hAnsi="Times New Roman" w:cs="Times New Roman"/>
                <w:sz w:val="24"/>
                <w:szCs w:val="24"/>
              </w:rPr>
              <w:t xml:space="preserve"> и/или надградената мрежа/инфраструктура“:</w:t>
            </w:r>
          </w:p>
          <w:p w:rsidR="002F18D1" w:rsidRPr="00A616AC" w:rsidRDefault="002F18D1" w:rsidP="000D2A49">
            <w:pPr>
              <w:rPr>
                <w:rFonts w:ascii="Times New Roman" w:hAnsi="Times New Roman" w:cs="Times New Roman"/>
                <w:sz w:val="24"/>
                <w:szCs w:val="24"/>
              </w:rPr>
            </w:pPr>
            <w:r w:rsidRPr="00A616AC">
              <w:rPr>
                <w:rFonts w:ascii="Times New Roman" w:hAnsi="Times New Roman" w:cs="Times New Roman"/>
                <w:sz w:val="24"/>
                <w:szCs w:val="24"/>
              </w:rPr>
              <w:t xml:space="preserve">Мотиви: Предложението е с цел яснота и отчита обстоятелството, че мрежата, предмет на финансиране, може да бъде не само </w:t>
            </w:r>
            <w:proofErr w:type="spellStart"/>
            <w:r w:rsidRPr="00A616AC">
              <w:rPr>
                <w:rFonts w:ascii="Times New Roman" w:hAnsi="Times New Roman" w:cs="Times New Roman"/>
                <w:sz w:val="24"/>
                <w:szCs w:val="24"/>
              </w:rPr>
              <w:t>новоизградена</w:t>
            </w:r>
            <w:proofErr w:type="spellEnd"/>
            <w:r w:rsidRPr="00A616AC">
              <w:rPr>
                <w:rFonts w:ascii="Times New Roman" w:hAnsi="Times New Roman" w:cs="Times New Roman"/>
                <w:sz w:val="24"/>
                <w:szCs w:val="24"/>
              </w:rPr>
              <w:t>, но и надградена съществуваща такава.</w:t>
            </w:r>
          </w:p>
          <w:p w:rsidR="002F18D1" w:rsidRPr="00A616AC" w:rsidRDefault="002F18D1" w:rsidP="000D2A49">
            <w:pPr>
              <w:rPr>
                <w:rFonts w:ascii="Times New Roman" w:hAnsi="Times New Roman" w:cs="Times New Roman"/>
                <w:sz w:val="24"/>
                <w:szCs w:val="24"/>
              </w:rPr>
            </w:pPr>
            <w:r w:rsidRPr="00A616AC">
              <w:rPr>
                <w:rFonts w:ascii="Times New Roman" w:hAnsi="Times New Roman" w:cs="Times New Roman"/>
                <w:sz w:val="24"/>
                <w:szCs w:val="24"/>
              </w:rPr>
              <w:t>Допълнително, посочените в букви „а“-„в“ референтни показатели и принципи на ценообразуване се отнасят и до самата физическа инфраструктура, а не само до електронната съобщителна мрежа.</w:t>
            </w:r>
          </w:p>
          <w:p w:rsidR="002F18D1" w:rsidRPr="00A616AC" w:rsidRDefault="002F18D1" w:rsidP="00884CAC">
            <w:pPr>
              <w:rPr>
                <w:rFonts w:ascii="Times New Roman" w:hAnsi="Times New Roman" w:cs="Times New Roman"/>
                <w:sz w:val="24"/>
                <w:szCs w:val="24"/>
              </w:rPr>
            </w:pPr>
          </w:p>
        </w:tc>
        <w:tc>
          <w:tcPr>
            <w:tcW w:w="4785" w:type="dxa"/>
            <w:tcBorders>
              <w:right w:val="single" w:sz="4" w:space="0" w:color="auto"/>
            </w:tcBorders>
          </w:tcPr>
          <w:p w:rsidR="002F18D1" w:rsidRPr="00A616AC" w:rsidRDefault="002F18D1">
            <w:pPr>
              <w:rPr>
                <w:rFonts w:ascii="Times New Roman" w:hAnsi="Times New Roman" w:cs="Times New Roman"/>
                <w:sz w:val="24"/>
                <w:szCs w:val="24"/>
              </w:rPr>
            </w:pPr>
            <w:r w:rsidRPr="000D2A49">
              <w:rPr>
                <w:rFonts w:ascii="Times New Roman" w:hAnsi="Times New Roman" w:cs="Times New Roman"/>
                <w:sz w:val="24"/>
                <w:szCs w:val="24"/>
              </w:rPr>
              <w:lastRenderedPageBreak/>
              <w:t>Приема се. Отразено е.</w:t>
            </w:r>
          </w:p>
        </w:tc>
      </w:tr>
      <w:tr w:rsidR="002F18D1" w:rsidRPr="00A616AC" w:rsidTr="002F18D1">
        <w:tc>
          <w:tcPr>
            <w:tcW w:w="1296" w:type="dxa"/>
            <w:vMerge/>
          </w:tcPr>
          <w:p w:rsidR="002F18D1" w:rsidRPr="00A616AC" w:rsidRDefault="002F18D1">
            <w:pPr>
              <w:rPr>
                <w:rFonts w:ascii="Times New Roman" w:hAnsi="Times New Roman" w:cs="Times New Roman"/>
                <w:color w:val="333333"/>
                <w:sz w:val="24"/>
                <w:szCs w:val="24"/>
                <w:shd w:val="clear" w:color="auto" w:fill="FFFFFF"/>
              </w:rPr>
            </w:pPr>
          </w:p>
        </w:tc>
        <w:tc>
          <w:tcPr>
            <w:tcW w:w="1927" w:type="dxa"/>
            <w:vMerge/>
            <w:tcBorders>
              <w:right w:val="single" w:sz="4" w:space="0" w:color="auto"/>
            </w:tcBorders>
          </w:tcPr>
          <w:p w:rsidR="002F18D1" w:rsidRPr="00A616AC" w:rsidRDefault="002F18D1">
            <w:pPr>
              <w:rPr>
                <w:rFonts w:ascii="Times New Roman" w:hAnsi="Times New Roman" w:cs="Times New Roman"/>
                <w:color w:val="333333"/>
                <w:sz w:val="24"/>
                <w:szCs w:val="24"/>
                <w:shd w:val="clear" w:color="auto" w:fill="FFFFFF"/>
              </w:rPr>
            </w:pPr>
          </w:p>
        </w:tc>
        <w:tc>
          <w:tcPr>
            <w:tcW w:w="5986" w:type="dxa"/>
            <w:tcBorders>
              <w:left w:val="single" w:sz="4" w:space="0" w:color="auto"/>
              <w:bottom w:val="single" w:sz="4" w:space="0" w:color="auto"/>
            </w:tcBorders>
          </w:tcPr>
          <w:p w:rsidR="002F18D1" w:rsidRPr="00A616AC" w:rsidRDefault="002F18D1" w:rsidP="000D2A49">
            <w:pPr>
              <w:rPr>
                <w:rFonts w:ascii="Times New Roman" w:hAnsi="Times New Roman" w:cs="Times New Roman"/>
                <w:sz w:val="24"/>
                <w:szCs w:val="24"/>
              </w:rPr>
            </w:pPr>
            <w:r w:rsidRPr="00A616AC">
              <w:rPr>
                <w:rFonts w:ascii="Times New Roman" w:hAnsi="Times New Roman" w:cs="Times New Roman"/>
                <w:sz w:val="24"/>
                <w:szCs w:val="24"/>
              </w:rPr>
              <w:t>5.</w:t>
            </w:r>
            <w:r w:rsidRPr="00A616AC">
              <w:rPr>
                <w:rFonts w:ascii="Times New Roman" w:hAnsi="Times New Roman" w:cs="Times New Roman"/>
                <w:sz w:val="24"/>
                <w:szCs w:val="24"/>
              </w:rPr>
              <w:tab/>
              <w:t xml:space="preserve">Предложение: Добавяне на образец на договор за предоставяне за ползване на тръба  </w:t>
            </w:r>
          </w:p>
          <w:p w:rsidR="002F18D1" w:rsidRPr="00A616AC" w:rsidRDefault="002F18D1" w:rsidP="000D2A49">
            <w:pPr>
              <w:rPr>
                <w:rFonts w:ascii="Times New Roman" w:hAnsi="Times New Roman" w:cs="Times New Roman"/>
                <w:sz w:val="24"/>
                <w:szCs w:val="24"/>
              </w:rPr>
            </w:pPr>
            <w:r w:rsidRPr="00A616AC">
              <w:rPr>
                <w:rFonts w:ascii="Times New Roman" w:hAnsi="Times New Roman" w:cs="Times New Roman"/>
                <w:sz w:val="24"/>
                <w:szCs w:val="24"/>
              </w:rPr>
              <w:t xml:space="preserve">Мотиви: Бихме искали да посочим, че в Приложение №15 към Условията за кандидатстване се съдържа образец на договор и приложения му с предмет предоставяне на право на ползване на тъмно влакно. Липсва обаче такъв образец за предоставяне на право на ползване и на самата канална тръба. </w:t>
            </w:r>
          </w:p>
          <w:p w:rsidR="002F18D1" w:rsidRPr="00A616AC" w:rsidRDefault="002F18D1" w:rsidP="000D2A49">
            <w:pPr>
              <w:rPr>
                <w:rFonts w:ascii="Times New Roman" w:hAnsi="Times New Roman" w:cs="Times New Roman"/>
                <w:sz w:val="24"/>
                <w:szCs w:val="24"/>
              </w:rPr>
            </w:pPr>
            <w:r w:rsidRPr="00A616AC">
              <w:rPr>
                <w:rFonts w:ascii="Times New Roman" w:hAnsi="Times New Roman" w:cs="Times New Roman"/>
                <w:sz w:val="24"/>
                <w:szCs w:val="24"/>
              </w:rPr>
              <w:t xml:space="preserve">Ето защо, считаме че трябва да бъде добавен и образец на договор (и приложенията), регламентиращи условията за ползване на самата канална тръба като подземна физическа инфраструктура за срока на проекта, както и съответните права и задължения – по аналогичен начин на този, избран с Приложение №15. </w:t>
            </w:r>
          </w:p>
          <w:p w:rsidR="002F18D1" w:rsidRPr="00A616AC" w:rsidRDefault="002F18D1" w:rsidP="000D2A49">
            <w:pPr>
              <w:rPr>
                <w:rFonts w:ascii="Times New Roman" w:hAnsi="Times New Roman" w:cs="Times New Roman"/>
                <w:sz w:val="24"/>
                <w:szCs w:val="24"/>
              </w:rPr>
            </w:pPr>
            <w:r w:rsidRPr="00A616AC">
              <w:rPr>
                <w:rFonts w:ascii="Times New Roman" w:hAnsi="Times New Roman" w:cs="Times New Roman"/>
                <w:sz w:val="24"/>
                <w:szCs w:val="24"/>
              </w:rPr>
              <w:t>Същевременно, така направеното предложение не е съществено от гледна точка на предмета на процедурата, а е с цел пълнота.</w:t>
            </w:r>
          </w:p>
          <w:p w:rsidR="002F18D1" w:rsidRPr="00A616AC" w:rsidRDefault="002F18D1" w:rsidP="00884CAC">
            <w:pPr>
              <w:rPr>
                <w:rFonts w:ascii="Times New Roman" w:hAnsi="Times New Roman" w:cs="Times New Roman"/>
                <w:sz w:val="24"/>
                <w:szCs w:val="24"/>
              </w:rPr>
            </w:pPr>
          </w:p>
        </w:tc>
        <w:tc>
          <w:tcPr>
            <w:tcW w:w="4785" w:type="dxa"/>
            <w:tcBorders>
              <w:right w:val="single" w:sz="4" w:space="0" w:color="auto"/>
            </w:tcBorders>
          </w:tcPr>
          <w:p w:rsidR="002F18D1" w:rsidRPr="00A616AC" w:rsidRDefault="002F18D1">
            <w:pPr>
              <w:rPr>
                <w:rFonts w:ascii="Times New Roman" w:hAnsi="Times New Roman" w:cs="Times New Roman"/>
                <w:sz w:val="24"/>
                <w:szCs w:val="24"/>
              </w:rPr>
            </w:pPr>
            <w:r w:rsidRPr="000D2A49">
              <w:rPr>
                <w:rFonts w:ascii="Times New Roman" w:hAnsi="Times New Roman" w:cs="Times New Roman"/>
                <w:sz w:val="24"/>
                <w:szCs w:val="24"/>
              </w:rPr>
              <w:t>Приема се. Добавен е Образец на договор за предоставяне за ползване на тръба.</w:t>
            </w:r>
          </w:p>
        </w:tc>
      </w:tr>
      <w:tr w:rsidR="002F18D1" w:rsidRPr="00A616AC" w:rsidTr="002F18D1">
        <w:tc>
          <w:tcPr>
            <w:tcW w:w="1296" w:type="dxa"/>
            <w:vMerge/>
          </w:tcPr>
          <w:p w:rsidR="002F18D1" w:rsidRPr="00A616AC" w:rsidRDefault="002F18D1">
            <w:pPr>
              <w:rPr>
                <w:rFonts w:ascii="Times New Roman" w:hAnsi="Times New Roman" w:cs="Times New Roman"/>
                <w:color w:val="333333"/>
                <w:sz w:val="24"/>
                <w:szCs w:val="24"/>
                <w:shd w:val="clear" w:color="auto" w:fill="FFFFFF"/>
              </w:rPr>
            </w:pPr>
          </w:p>
        </w:tc>
        <w:tc>
          <w:tcPr>
            <w:tcW w:w="1927" w:type="dxa"/>
            <w:vMerge/>
            <w:tcBorders>
              <w:right w:val="single" w:sz="4" w:space="0" w:color="auto"/>
            </w:tcBorders>
          </w:tcPr>
          <w:p w:rsidR="002F18D1" w:rsidRPr="00A616AC" w:rsidRDefault="002F18D1">
            <w:pPr>
              <w:rPr>
                <w:rFonts w:ascii="Times New Roman" w:hAnsi="Times New Roman" w:cs="Times New Roman"/>
                <w:color w:val="333333"/>
                <w:sz w:val="24"/>
                <w:szCs w:val="24"/>
                <w:shd w:val="clear" w:color="auto" w:fill="FFFFFF"/>
              </w:rPr>
            </w:pPr>
          </w:p>
        </w:tc>
        <w:tc>
          <w:tcPr>
            <w:tcW w:w="5986" w:type="dxa"/>
            <w:tcBorders>
              <w:top w:val="single" w:sz="4" w:space="0" w:color="auto"/>
              <w:left w:val="single" w:sz="4" w:space="0" w:color="auto"/>
              <w:bottom w:val="single" w:sz="4" w:space="0" w:color="auto"/>
              <w:right w:val="single" w:sz="4" w:space="0" w:color="auto"/>
            </w:tcBorders>
          </w:tcPr>
          <w:p w:rsidR="002F18D1" w:rsidRPr="00A616AC" w:rsidRDefault="002F18D1" w:rsidP="0028607A">
            <w:pPr>
              <w:rPr>
                <w:rFonts w:ascii="Times New Roman" w:hAnsi="Times New Roman" w:cs="Times New Roman"/>
                <w:sz w:val="24"/>
                <w:szCs w:val="24"/>
              </w:rPr>
            </w:pPr>
            <w:r w:rsidRPr="00A616AC">
              <w:rPr>
                <w:rFonts w:ascii="Times New Roman" w:hAnsi="Times New Roman" w:cs="Times New Roman"/>
                <w:sz w:val="24"/>
                <w:szCs w:val="24"/>
              </w:rPr>
              <w:t xml:space="preserve">Не на последно място, бихме искали още на този етап от Процедурата да алармираме, че до момента такава не е реализирана на територията на Р България. Мащабът й, както и индикаторите, които следва да постигнати при реализацията й, предполагат значително повече време за реализация – от планиране, през доставка на оборудване и материали, съответстващи на планираното, строителство и въвеждане в експлоатация, което да се осъществява едновременно на територията на цялата страна. Това несъмнено прави Процедура уникална и амбициозна както за ръководещите я органи, така и за участниците и потенциални </w:t>
            </w:r>
            <w:proofErr w:type="spellStart"/>
            <w:r w:rsidRPr="00A616AC">
              <w:rPr>
                <w:rFonts w:ascii="Times New Roman" w:hAnsi="Times New Roman" w:cs="Times New Roman"/>
                <w:sz w:val="24"/>
                <w:szCs w:val="24"/>
              </w:rPr>
              <w:t>бенефициери</w:t>
            </w:r>
            <w:proofErr w:type="spellEnd"/>
            <w:r w:rsidRPr="00A616AC">
              <w:rPr>
                <w:rFonts w:ascii="Times New Roman" w:hAnsi="Times New Roman" w:cs="Times New Roman"/>
                <w:sz w:val="24"/>
                <w:szCs w:val="24"/>
              </w:rPr>
              <w:t xml:space="preserve"> в нея. И двете страни в тази </w:t>
            </w:r>
            <w:r w:rsidRPr="00A616AC">
              <w:rPr>
                <w:rFonts w:ascii="Times New Roman" w:hAnsi="Times New Roman" w:cs="Times New Roman"/>
                <w:sz w:val="24"/>
                <w:szCs w:val="24"/>
              </w:rPr>
              <w:lastRenderedPageBreak/>
              <w:t xml:space="preserve">процедура несъмнено са водени от стремежа за постигане на оптимални резултати, адекватни на заложените индикатори и цели. Ето защо вярваме, че крайният срок за реализиране на проектите в рамките на Процедурата (до средата на 2026 г.), който се очаква да даде на потенциалните </w:t>
            </w:r>
            <w:proofErr w:type="spellStart"/>
            <w:r w:rsidRPr="00A616AC">
              <w:rPr>
                <w:rFonts w:ascii="Times New Roman" w:hAnsi="Times New Roman" w:cs="Times New Roman"/>
                <w:sz w:val="24"/>
                <w:szCs w:val="24"/>
              </w:rPr>
              <w:t>бенефициери</w:t>
            </w:r>
            <w:proofErr w:type="spellEnd"/>
            <w:r w:rsidRPr="00A616AC">
              <w:rPr>
                <w:rFonts w:ascii="Times New Roman" w:hAnsi="Times New Roman" w:cs="Times New Roman"/>
                <w:sz w:val="24"/>
                <w:szCs w:val="24"/>
              </w:rPr>
              <w:t xml:space="preserve"> ефективно около година за реализация (като се отчете и технологичното време, което е необходимо в рамките на процесите по подаване на предложенията, оценяването и класирането им) следва да бъде удължен.</w:t>
            </w:r>
          </w:p>
          <w:p w:rsidR="002F18D1" w:rsidRPr="00A616AC" w:rsidRDefault="002F18D1" w:rsidP="00884CAC">
            <w:pPr>
              <w:rPr>
                <w:rFonts w:ascii="Times New Roman" w:hAnsi="Times New Roman" w:cs="Times New Roman"/>
                <w:sz w:val="24"/>
                <w:szCs w:val="24"/>
              </w:rPr>
            </w:pPr>
          </w:p>
        </w:tc>
        <w:tc>
          <w:tcPr>
            <w:tcW w:w="4785" w:type="dxa"/>
            <w:tcBorders>
              <w:left w:val="single" w:sz="4" w:space="0" w:color="auto"/>
              <w:right w:val="single" w:sz="4" w:space="0" w:color="auto"/>
            </w:tcBorders>
          </w:tcPr>
          <w:p w:rsidR="002F18D1" w:rsidRPr="00A616AC" w:rsidRDefault="002F18D1" w:rsidP="00F026C6">
            <w:pPr>
              <w:rPr>
                <w:rFonts w:ascii="Times New Roman" w:hAnsi="Times New Roman" w:cs="Times New Roman"/>
                <w:sz w:val="24"/>
                <w:szCs w:val="24"/>
              </w:rPr>
            </w:pPr>
            <w:r>
              <w:rPr>
                <w:rFonts w:ascii="Times New Roman" w:hAnsi="Times New Roman" w:cs="Times New Roman"/>
                <w:sz w:val="24"/>
                <w:szCs w:val="24"/>
              </w:rPr>
              <w:lastRenderedPageBreak/>
              <w:t xml:space="preserve">Не се приема. </w:t>
            </w:r>
            <w:r w:rsidRPr="0028607A">
              <w:rPr>
                <w:rFonts w:ascii="Times New Roman" w:hAnsi="Times New Roman" w:cs="Times New Roman"/>
                <w:sz w:val="24"/>
                <w:szCs w:val="24"/>
              </w:rPr>
              <w:t xml:space="preserve">Поставените срокове са съобразени с Регламент (ЕС) 2021/241 на Европейския парламент и на Съвета от 12 февруари 2021 г. за създаване на Механизъм за възстановяване и устойчивост (Регламента за МВУ). Към настоящия момент удължение на срока на проекта </w:t>
            </w:r>
            <w:r w:rsidR="00F026C6">
              <w:rPr>
                <w:rFonts w:ascii="Times New Roman" w:hAnsi="Times New Roman" w:cs="Times New Roman"/>
                <w:sz w:val="24"/>
                <w:szCs w:val="24"/>
              </w:rPr>
              <w:t>е допустимо</w:t>
            </w:r>
            <w:r w:rsidRPr="0028607A">
              <w:rPr>
                <w:rFonts w:ascii="Times New Roman" w:hAnsi="Times New Roman" w:cs="Times New Roman"/>
                <w:sz w:val="24"/>
                <w:szCs w:val="24"/>
              </w:rPr>
              <w:t xml:space="preserve"> само в случай на </w:t>
            </w:r>
            <w:r>
              <w:rPr>
                <w:rFonts w:ascii="Times New Roman" w:hAnsi="Times New Roman" w:cs="Times New Roman"/>
                <w:sz w:val="24"/>
                <w:szCs w:val="24"/>
              </w:rPr>
              <w:t>изменение</w:t>
            </w:r>
            <w:r w:rsidRPr="0028607A">
              <w:rPr>
                <w:rFonts w:ascii="Times New Roman" w:hAnsi="Times New Roman" w:cs="Times New Roman"/>
                <w:sz w:val="24"/>
                <w:szCs w:val="24"/>
              </w:rPr>
              <w:t xml:space="preserve"> на Регламента.</w:t>
            </w:r>
          </w:p>
        </w:tc>
      </w:tr>
      <w:tr w:rsidR="002F18D1" w:rsidRPr="00A616AC" w:rsidTr="002F18D1">
        <w:tc>
          <w:tcPr>
            <w:tcW w:w="1296" w:type="dxa"/>
            <w:vMerge/>
          </w:tcPr>
          <w:p w:rsidR="002F18D1" w:rsidRPr="00A616AC" w:rsidRDefault="002F18D1">
            <w:pPr>
              <w:rPr>
                <w:rFonts w:ascii="Times New Roman" w:hAnsi="Times New Roman" w:cs="Times New Roman"/>
                <w:color w:val="333333"/>
                <w:sz w:val="24"/>
                <w:szCs w:val="24"/>
                <w:shd w:val="clear" w:color="auto" w:fill="FFFFFF"/>
              </w:rPr>
            </w:pPr>
          </w:p>
        </w:tc>
        <w:tc>
          <w:tcPr>
            <w:tcW w:w="1927" w:type="dxa"/>
            <w:vMerge/>
            <w:tcBorders>
              <w:right w:val="single" w:sz="4" w:space="0" w:color="auto"/>
            </w:tcBorders>
          </w:tcPr>
          <w:p w:rsidR="002F18D1" w:rsidRPr="00A616AC" w:rsidRDefault="002F18D1">
            <w:pPr>
              <w:rPr>
                <w:rFonts w:ascii="Times New Roman" w:hAnsi="Times New Roman" w:cs="Times New Roman"/>
                <w:color w:val="333333"/>
                <w:sz w:val="24"/>
                <w:szCs w:val="24"/>
                <w:shd w:val="clear" w:color="auto" w:fill="FFFFFF"/>
              </w:rPr>
            </w:pPr>
          </w:p>
        </w:tc>
        <w:tc>
          <w:tcPr>
            <w:tcW w:w="5986" w:type="dxa"/>
            <w:tcBorders>
              <w:top w:val="single" w:sz="4" w:space="0" w:color="auto"/>
              <w:left w:val="single" w:sz="4" w:space="0" w:color="auto"/>
              <w:bottom w:val="single" w:sz="4" w:space="0" w:color="auto"/>
              <w:right w:val="single" w:sz="4" w:space="0" w:color="auto"/>
            </w:tcBorders>
          </w:tcPr>
          <w:p w:rsidR="002F18D1" w:rsidRPr="00A616AC" w:rsidRDefault="002F18D1" w:rsidP="0028607A">
            <w:pPr>
              <w:rPr>
                <w:rFonts w:ascii="Times New Roman" w:hAnsi="Times New Roman" w:cs="Times New Roman"/>
                <w:sz w:val="24"/>
                <w:szCs w:val="24"/>
              </w:rPr>
            </w:pPr>
            <w:r w:rsidRPr="00A616AC">
              <w:rPr>
                <w:rFonts w:ascii="Times New Roman" w:hAnsi="Times New Roman" w:cs="Times New Roman"/>
                <w:sz w:val="24"/>
                <w:szCs w:val="24"/>
              </w:rPr>
              <w:t>В същото време силно вярваме, че за подпомагане на по-бързата и ефективна реализация е ключово приемането на Законопроекта за изменение и допълнение на Закона за електронните съобщителни мрежи и физическа инфраструктура (ЗИ</w:t>
            </w:r>
            <w:r>
              <w:rPr>
                <w:rFonts w:ascii="Times New Roman" w:hAnsi="Times New Roman" w:cs="Times New Roman"/>
                <w:sz w:val="24"/>
                <w:szCs w:val="24"/>
              </w:rPr>
              <w:t>ДЗЕСМФИ, сигнатура 51-402-01-6)</w:t>
            </w:r>
            <w:r w:rsidRPr="00A616AC">
              <w:rPr>
                <w:rFonts w:ascii="Times New Roman" w:hAnsi="Times New Roman" w:cs="Times New Roman"/>
                <w:sz w:val="24"/>
                <w:szCs w:val="24"/>
              </w:rPr>
              <w:t xml:space="preserve">. </w:t>
            </w:r>
          </w:p>
          <w:p w:rsidR="002F18D1" w:rsidRDefault="002F18D1" w:rsidP="00884CAC">
            <w:pPr>
              <w:rPr>
                <w:rFonts w:ascii="Times New Roman" w:hAnsi="Times New Roman" w:cs="Times New Roman"/>
                <w:sz w:val="24"/>
                <w:szCs w:val="24"/>
              </w:rPr>
            </w:pPr>
          </w:p>
          <w:p w:rsidR="002F18D1" w:rsidRPr="00A616AC" w:rsidRDefault="002F18D1" w:rsidP="00B278C4">
            <w:pPr>
              <w:rPr>
                <w:rFonts w:ascii="Times New Roman" w:hAnsi="Times New Roman" w:cs="Times New Roman"/>
                <w:sz w:val="24"/>
                <w:szCs w:val="24"/>
              </w:rPr>
            </w:pPr>
            <w:r w:rsidRPr="00A616AC">
              <w:rPr>
                <w:rFonts w:ascii="Times New Roman" w:hAnsi="Times New Roman" w:cs="Times New Roman"/>
                <w:sz w:val="24"/>
                <w:szCs w:val="24"/>
              </w:rPr>
              <w:t xml:space="preserve">С уважение, </w:t>
            </w:r>
          </w:p>
          <w:p w:rsidR="002F18D1" w:rsidRPr="00A616AC" w:rsidRDefault="002F18D1" w:rsidP="00B278C4">
            <w:pPr>
              <w:rPr>
                <w:rFonts w:ascii="Times New Roman" w:hAnsi="Times New Roman" w:cs="Times New Roman"/>
                <w:sz w:val="24"/>
                <w:szCs w:val="24"/>
              </w:rPr>
            </w:pPr>
            <w:r w:rsidRPr="00A616AC">
              <w:rPr>
                <w:rFonts w:ascii="Times New Roman" w:hAnsi="Times New Roman" w:cs="Times New Roman"/>
                <w:sz w:val="24"/>
                <w:szCs w:val="24"/>
              </w:rPr>
              <w:t xml:space="preserve">ЦЕТИН България ЕАД и </w:t>
            </w:r>
            <w:proofErr w:type="spellStart"/>
            <w:r w:rsidRPr="00A616AC">
              <w:rPr>
                <w:rFonts w:ascii="Times New Roman" w:hAnsi="Times New Roman" w:cs="Times New Roman"/>
                <w:sz w:val="24"/>
                <w:szCs w:val="24"/>
              </w:rPr>
              <w:t>Йеттел</w:t>
            </w:r>
            <w:proofErr w:type="spellEnd"/>
            <w:r w:rsidRPr="00A616AC">
              <w:rPr>
                <w:rFonts w:ascii="Times New Roman" w:hAnsi="Times New Roman" w:cs="Times New Roman"/>
                <w:sz w:val="24"/>
                <w:szCs w:val="24"/>
              </w:rPr>
              <w:t xml:space="preserve"> България ЕАД  </w:t>
            </w:r>
          </w:p>
          <w:p w:rsidR="002F18D1" w:rsidRPr="00A616AC" w:rsidRDefault="002F18D1" w:rsidP="00884CAC">
            <w:pPr>
              <w:rPr>
                <w:rFonts w:ascii="Times New Roman" w:hAnsi="Times New Roman" w:cs="Times New Roman"/>
                <w:sz w:val="24"/>
                <w:szCs w:val="24"/>
              </w:rPr>
            </w:pPr>
          </w:p>
        </w:tc>
        <w:tc>
          <w:tcPr>
            <w:tcW w:w="4785" w:type="dxa"/>
            <w:tcBorders>
              <w:left w:val="single" w:sz="4" w:space="0" w:color="auto"/>
              <w:bottom w:val="single" w:sz="4" w:space="0" w:color="auto"/>
              <w:right w:val="single" w:sz="4" w:space="0" w:color="auto"/>
            </w:tcBorders>
          </w:tcPr>
          <w:p w:rsidR="002F18D1" w:rsidRDefault="002F18D1" w:rsidP="0028607A">
            <w:pPr>
              <w:rPr>
                <w:rFonts w:ascii="Times New Roman" w:hAnsi="Times New Roman" w:cs="Times New Roman"/>
                <w:sz w:val="24"/>
                <w:szCs w:val="24"/>
              </w:rPr>
            </w:pPr>
            <w:r w:rsidRPr="0028607A">
              <w:rPr>
                <w:rFonts w:ascii="Times New Roman" w:hAnsi="Times New Roman" w:cs="Times New Roman"/>
                <w:sz w:val="24"/>
                <w:szCs w:val="24"/>
              </w:rPr>
              <w:t xml:space="preserve">ЗИД на ЗЕСМФИ е внесен за разглеждане в НС </w:t>
            </w:r>
            <w:r>
              <w:rPr>
                <w:rFonts w:ascii="Times New Roman" w:hAnsi="Times New Roman" w:cs="Times New Roman"/>
                <w:sz w:val="24"/>
                <w:szCs w:val="24"/>
              </w:rPr>
              <w:t xml:space="preserve">с писмо № </w:t>
            </w:r>
            <w:r w:rsidRPr="0028607A">
              <w:rPr>
                <w:rFonts w:ascii="Times New Roman" w:hAnsi="Times New Roman" w:cs="Times New Roman"/>
                <w:sz w:val="24"/>
                <w:szCs w:val="24"/>
              </w:rPr>
              <w:t>51-402-01-2 от 02.12.2024</w:t>
            </w:r>
            <w:r>
              <w:rPr>
                <w:rFonts w:ascii="Times New Roman" w:hAnsi="Times New Roman" w:cs="Times New Roman"/>
                <w:sz w:val="24"/>
                <w:szCs w:val="24"/>
              </w:rPr>
              <w:t xml:space="preserve"> г.</w:t>
            </w:r>
            <w:r w:rsidRPr="0028607A">
              <w:rPr>
                <w:rFonts w:ascii="Times New Roman" w:hAnsi="Times New Roman" w:cs="Times New Roman"/>
                <w:sz w:val="24"/>
                <w:szCs w:val="24"/>
              </w:rPr>
              <w:t xml:space="preserve">  </w:t>
            </w:r>
          </w:p>
          <w:p w:rsidR="002F18D1" w:rsidRPr="002F18D1" w:rsidRDefault="002F18D1" w:rsidP="00474E05">
            <w:pPr>
              <w:rPr>
                <w:rFonts w:ascii="Times New Roman" w:hAnsi="Times New Roman" w:cs="Times New Roman"/>
                <w:sz w:val="24"/>
                <w:szCs w:val="24"/>
              </w:rPr>
            </w:pPr>
            <w:r w:rsidRPr="002F18D1">
              <w:rPr>
                <w:rFonts w:ascii="Times New Roman" w:hAnsi="Times New Roman" w:cs="Times New Roman"/>
                <w:sz w:val="24"/>
                <w:szCs w:val="24"/>
              </w:rPr>
              <w:t xml:space="preserve">Внесеният проект за ЗИД на ЗЕСМФИ няма пряко </w:t>
            </w:r>
            <w:proofErr w:type="spellStart"/>
            <w:r w:rsidRPr="002F18D1">
              <w:rPr>
                <w:rFonts w:ascii="Times New Roman" w:hAnsi="Times New Roman" w:cs="Times New Roman"/>
                <w:sz w:val="24"/>
                <w:szCs w:val="24"/>
              </w:rPr>
              <w:t>касате</w:t>
            </w:r>
            <w:r w:rsidR="00681CEC">
              <w:rPr>
                <w:rFonts w:ascii="Times New Roman" w:hAnsi="Times New Roman" w:cs="Times New Roman"/>
                <w:sz w:val="24"/>
                <w:szCs w:val="24"/>
              </w:rPr>
              <w:t>лство</w:t>
            </w:r>
            <w:proofErr w:type="spellEnd"/>
            <w:r w:rsidR="00681CEC">
              <w:rPr>
                <w:rFonts w:ascii="Times New Roman" w:hAnsi="Times New Roman" w:cs="Times New Roman"/>
                <w:sz w:val="24"/>
                <w:szCs w:val="24"/>
              </w:rPr>
              <w:t xml:space="preserve"> към настоящата процедура</w:t>
            </w:r>
            <w:r w:rsidRPr="002F18D1">
              <w:rPr>
                <w:rFonts w:ascii="Times New Roman" w:hAnsi="Times New Roman" w:cs="Times New Roman"/>
                <w:sz w:val="24"/>
                <w:szCs w:val="24"/>
              </w:rPr>
              <w:t>, но несъмнено неговото приемане би улеснило изпълнението на проекта.</w:t>
            </w:r>
          </w:p>
          <w:p w:rsidR="002F18D1" w:rsidRPr="00A616AC" w:rsidRDefault="002F18D1" w:rsidP="0028607A">
            <w:pPr>
              <w:rPr>
                <w:rFonts w:ascii="Times New Roman" w:hAnsi="Times New Roman" w:cs="Times New Roman"/>
                <w:sz w:val="24"/>
                <w:szCs w:val="24"/>
              </w:rPr>
            </w:pPr>
          </w:p>
        </w:tc>
      </w:tr>
    </w:tbl>
    <w:p w:rsidR="00884CAC" w:rsidRDefault="00884CAC"/>
    <w:sectPr w:rsidR="00884CAC" w:rsidSect="00884CA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AC"/>
    <w:rsid w:val="000D2A49"/>
    <w:rsid w:val="0014481C"/>
    <w:rsid w:val="002019DF"/>
    <w:rsid w:val="0028607A"/>
    <w:rsid w:val="002D2FE1"/>
    <w:rsid w:val="002F18D1"/>
    <w:rsid w:val="00375243"/>
    <w:rsid w:val="00474E05"/>
    <w:rsid w:val="0048079D"/>
    <w:rsid w:val="004B5823"/>
    <w:rsid w:val="00504C0F"/>
    <w:rsid w:val="00574CB4"/>
    <w:rsid w:val="00580548"/>
    <w:rsid w:val="0062237B"/>
    <w:rsid w:val="0063298F"/>
    <w:rsid w:val="00653D44"/>
    <w:rsid w:val="00681CEC"/>
    <w:rsid w:val="006A203D"/>
    <w:rsid w:val="006B1214"/>
    <w:rsid w:val="006F3991"/>
    <w:rsid w:val="00725596"/>
    <w:rsid w:val="00884CAC"/>
    <w:rsid w:val="009428F5"/>
    <w:rsid w:val="00A616AC"/>
    <w:rsid w:val="00AC470B"/>
    <w:rsid w:val="00AF3779"/>
    <w:rsid w:val="00B147D9"/>
    <w:rsid w:val="00B278C4"/>
    <w:rsid w:val="00B7037A"/>
    <w:rsid w:val="00BA4E48"/>
    <w:rsid w:val="00BC5045"/>
    <w:rsid w:val="00C67E1B"/>
    <w:rsid w:val="00D36252"/>
    <w:rsid w:val="00D53882"/>
    <w:rsid w:val="00D638B2"/>
    <w:rsid w:val="00DD0620"/>
    <w:rsid w:val="00DD7A5E"/>
    <w:rsid w:val="00DE0356"/>
    <w:rsid w:val="00E75F7C"/>
    <w:rsid w:val="00EE7BB3"/>
    <w:rsid w:val="00F026C6"/>
    <w:rsid w:val="00F242AC"/>
    <w:rsid w:val="00F8653B"/>
    <w:rsid w:val="00FE70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98F2"/>
  <w15:chartTrackingRefBased/>
  <w15:docId w15:val="{4CC38C79-A594-4B14-9A6D-5E94E53F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75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16356">
      <w:bodyDiv w:val="1"/>
      <w:marLeft w:val="0"/>
      <w:marRight w:val="0"/>
      <w:marTop w:val="0"/>
      <w:marBottom w:val="0"/>
      <w:divBdr>
        <w:top w:val="none" w:sz="0" w:space="0" w:color="auto"/>
        <w:left w:val="none" w:sz="0" w:space="0" w:color="auto"/>
        <w:bottom w:val="none" w:sz="0" w:space="0" w:color="auto"/>
        <w:right w:val="none" w:sz="0" w:space="0" w:color="auto"/>
      </w:divBdr>
    </w:div>
    <w:div w:id="13919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c.europa.eu/newsroom/dae/document.cfm?doc_id=621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6EC12-9378-4464-A49F-2CF264E3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21</Pages>
  <Words>4599</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2025-01-07T09:17:00Z</dcterms:created>
  <dcterms:modified xsi:type="dcterms:W3CDTF">2025-01-09T13:55:00Z</dcterms:modified>
</cp:coreProperties>
</file>