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2388052"/>
        <w:docPartObj>
          <w:docPartGallery w:val="Cover Pages"/>
          <w:docPartUnique/>
        </w:docPartObj>
      </w:sdtPr>
      <w:sdtEndPr>
        <w:rPr>
          <w:rFonts w:ascii="Times New Roman" w:eastAsia="Times New Roman" w:hAnsi="Times New Roman" w:cs="Times New Roman"/>
          <w:color w:val="000000"/>
          <w:sz w:val="24"/>
          <w:lang w:val="en-US"/>
        </w:rPr>
      </w:sdtEndPr>
      <w:sdtContent>
        <w:p w:rsidR="006F1A4C" w:rsidRDefault="006F1A4C"/>
        <w:p w:rsidR="006F1A4C" w:rsidRDefault="00330EEB">
          <w:pPr>
            <w:rPr>
              <w:rFonts w:ascii="Times New Roman" w:eastAsia="Times New Roman" w:hAnsi="Times New Roman" w:cs="Times New Roman"/>
              <w:color w:val="000000"/>
              <w:sz w:val="24"/>
            </w:rPr>
          </w:pPr>
          <w:r>
            <w:rPr>
              <w:noProof/>
              <w:lang w:val="bg-BG"/>
            </w:rPr>
            <mc:AlternateContent>
              <mc:Choice Requires="wps">
                <w:drawing>
                  <wp:anchor distT="0" distB="0" distL="182880" distR="182880" simplePos="0" relativeHeight="251660288" behindDoc="0" locked="0" layoutInCell="1" allowOverlap="1">
                    <wp:simplePos x="0" y="0"/>
                    <wp:positionH relativeFrom="margin">
                      <wp:posOffset>441325</wp:posOffset>
                    </wp:positionH>
                    <wp:positionV relativeFrom="page">
                      <wp:posOffset>5775960</wp:posOffset>
                    </wp:positionV>
                    <wp:extent cx="5158740" cy="6720840"/>
                    <wp:effectExtent l="0" t="0" r="3810" b="12065"/>
                    <wp:wrapSquare wrapText="bothSides"/>
                    <wp:docPr id="131" name="Текстово поле 131"/>
                    <wp:cNvGraphicFramePr/>
                    <a:graphic xmlns:a="http://schemas.openxmlformats.org/drawingml/2006/main">
                      <a:graphicData uri="http://schemas.microsoft.com/office/word/2010/wordprocessingShape">
                        <wps:wsp>
                          <wps:cNvSpPr txBox="1"/>
                          <wps:spPr>
                            <a:xfrm>
                              <a:off x="0" y="0"/>
                              <a:ext cx="515874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600E" w:rsidRPr="00EC1A5B" w:rsidRDefault="00E4600E">
                                <w:pPr>
                                  <w:pStyle w:val="P68B1DB1-NoSpacing1"/>
                                  <w:spacing w:before="40" w:after="40"/>
                                  <w:rPr>
                                    <w:rFonts w:ascii="Times New Roman" w:hAnsi="Times New Roman" w:cs="Times New Roman"/>
                                  </w:rPr>
                                </w:pPr>
                                <w:r w:rsidRPr="00EC1A5B">
                                  <w:rPr>
                                    <w:rFonts w:ascii="Times New Roman" w:hAnsi="Times New Roman" w:cs="Times New Roman"/>
                                  </w:rPr>
                                  <w:t xml:space="preserve">Социално-икономически анализ на регионите в България </w:t>
                                </w:r>
                              </w:p>
                              <w:p w:rsidR="00E4600E" w:rsidRDefault="00E4600E">
                                <w:pPr>
                                  <w:pStyle w:val="NoSpacing"/>
                                  <w:spacing w:before="40" w:after="40"/>
                                  <w:rPr>
                                    <w:color w:val="5B9BD5" w:themeColor="accent1"/>
                                    <w:sz w:val="72"/>
                                  </w:rPr>
                                </w:pPr>
                              </w:p>
                              <w:p w:rsidR="00E4600E" w:rsidRDefault="00173964">
                                <w:pPr>
                                  <w:pStyle w:val="P68B1DB1-NoSpacing2"/>
                                  <w:spacing w:before="40" w:after="40"/>
                                </w:pPr>
                                <w:sdt>
                                  <w:sdtPr>
                                    <w:rPr>
                                      <w:rFonts w:ascii="Times New Roman" w:hAnsi="Times New Roman" w:cs="Times New Roman"/>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E4600E" w:rsidRPr="00EC1A5B">
                                      <w:rPr>
                                        <w:rFonts w:ascii="Times New Roman" w:hAnsi="Times New Roman" w:cs="Times New Roman"/>
                                        <w:szCs w:val="28"/>
                                        <w:lang w:val="bg-BG"/>
                                      </w:rPr>
                                      <w:t>Състояние на цифровата свързаност в страната</w:t>
                                    </w:r>
                                  </w:sdtContent>
                                </w:sdt>
                              </w:p>
                              <w:sdt>
                                <w:sdt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E4600E" w:rsidRDefault="00E4600E">
                                    <w:pPr>
                                      <w:pStyle w:val="P68B1DB1-NoSpacing3"/>
                                      <w:spacing w:before="80" w:after="40"/>
                                    </w:pPr>
                                    <w: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Текстово поле 131" o:spid="_x0000_s1026" type="#_x0000_t202" style="position:absolute;margin-left:34.75pt;margin-top:454.8pt;width:406.2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" filled="f" stroked="f" strokeweight=".5pt">
                    <v:textbox style="mso-fit-shape-to-text:t" inset="0,0,0,0">
                      <w:txbxContent>
                        <w:p w:rsidR="00E4600E" w:rsidRPr="00EC1A5B" w:rsidRDefault="00E4600E">
                          <w:pPr>
                            <w:pStyle w:val="P68B1DB1-NoSpacing1"/>
                            <w:spacing w:before="40" w:after="40"/>
                            <w:rPr>
                              <w:rFonts w:ascii="Times New Roman" w:hAnsi="Times New Roman" w:cs="Times New Roman"/>
                            </w:rPr>
                          </w:pPr>
                          <w:r w:rsidRPr="00EC1A5B">
                            <w:rPr>
                              <w:rFonts w:ascii="Times New Roman" w:hAnsi="Times New Roman" w:cs="Times New Roman"/>
                            </w:rPr>
                            <w:t xml:space="preserve">Социално-икономически анализ на регионите в България </w:t>
                          </w:r>
                        </w:p>
                        <w:p w:rsidR="00E4600E" w:rsidRDefault="00E4600E">
                          <w:pPr>
                            <w:pStyle w:val="NoSpacing"/>
                            <w:spacing w:before="40" w:after="40"/>
                            <w:rPr>
                              <w:color w:val="5B9BD5" w:themeColor="accent1"/>
                              <w:sz w:val="72"/>
                            </w:rPr>
                          </w:pPr>
                        </w:p>
                        <w:p w:rsidR="00E4600E" w:rsidRDefault="00173964">
                          <w:pPr>
                            <w:pStyle w:val="P68B1DB1-NoSpacing2"/>
                            <w:spacing w:before="40" w:after="40"/>
                          </w:pPr>
                          <w:sdt>
                            <w:sdtPr>
                              <w:rPr>
                                <w:rFonts w:ascii="Times New Roman" w:hAnsi="Times New Roman" w:cs="Times New Roman"/>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E4600E" w:rsidRPr="00EC1A5B">
                                <w:rPr>
                                  <w:rFonts w:ascii="Times New Roman" w:hAnsi="Times New Roman" w:cs="Times New Roman"/>
                                  <w:szCs w:val="28"/>
                                  <w:lang w:val="bg-BG"/>
                                </w:rPr>
                                <w:t>Състояние на цифровата свързаност в страната</w:t>
                              </w:r>
                            </w:sdtContent>
                          </w:sdt>
                        </w:p>
                        <w:sdt>
                          <w:sdt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E4600E" w:rsidRDefault="00E4600E">
                              <w:pPr>
                                <w:pStyle w:val="P68B1DB1-NoSpacing3"/>
                                <w:spacing w:before="80" w:after="40"/>
                              </w:pPr>
                              <w:r>
                                <w:t xml:space="preserve">     </w:t>
                              </w:r>
                            </w:p>
                          </w:sdtContent>
                        </w:sdt>
                      </w:txbxContent>
                    </v:textbox>
                    <w10:wrap type="square" anchorx="margin" anchory="page"/>
                  </v:shape>
                </w:pict>
              </mc:Fallback>
            </mc:AlternateContent>
          </w:r>
          <w:r>
            <w:rPr>
              <w:noProof/>
              <w:lang w:val="bg-BG"/>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Правоъгъл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00E4600E" w:rsidRDefault="00E4600E">
                                    <w:pPr>
                                      <w:pStyle w:val="P68B1DB1-NoSpacing4"/>
                                      <w:jc w:val="right"/>
                                    </w:pPr>
                                    <w: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авоъгълник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" fillcolor="#5b9bd5 [3204]" stroked="f" strokeweight="1pt">
                    <v:path arrowok="t"/>
                    <o:lock v:ext="edit" aspectratio="t"/>
                    <v:textbox inset="3.6pt,,3.6pt">
                      <w:txbxContent>
                        <w:sdt>
                          <w:sdt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00E4600E" w:rsidRDefault="00E4600E">
                              <w:pPr>
                                <w:pStyle w:val="P68B1DB1-NoSpacing4"/>
                                <w:jc w:val="right"/>
                              </w:pPr>
                              <w:r>
                                <w:t>2024</w:t>
                              </w:r>
                            </w:p>
                          </w:sdtContent>
                        </w:sdt>
                      </w:txbxContent>
                    </v:textbox>
                    <w10:wrap anchorx="margin" anchory="page"/>
                  </v:rect>
                </w:pict>
              </mc:Fallback>
            </mc:AlternateContent>
          </w:r>
          <w:r>
            <w:rPr>
              <w:rFonts w:ascii="Times New Roman" w:eastAsia="Times New Roman" w:hAnsi="Times New Roman" w:cs="Times New Roman"/>
              <w:color w:val="000000"/>
              <w:sz w:val="24"/>
            </w:rPr>
            <w:br w:type="page"/>
          </w:r>
        </w:p>
      </w:sdtContent>
    </w:sdt>
    <w:p w:rsidR="006F1A4C" w:rsidRPr="0024568B" w:rsidRDefault="006F1A4C">
      <w:pPr>
        <w:tabs>
          <w:tab w:val="left" w:pos="2161"/>
          <w:tab w:val="left" w:leader="dot" w:pos="9072"/>
        </w:tabs>
        <w:spacing w:before="120" w:after="120" w:line="276" w:lineRule="auto"/>
        <w:ind w:firstLine="567"/>
        <w:jc w:val="center"/>
        <w:rPr>
          <w:rFonts w:ascii="Times New Roman" w:eastAsia="Times New Roman" w:hAnsi="Times New Roman" w:cs="Times New Roman"/>
          <w:color w:val="000000"/>
          <w:sz w:val="24"/>
          <w:lang w:val="en-US"/>
        </w:rPr>
        <w:sectPr w:rsidR="006F1A4C" w:rsidRPr="0024568B" w:rsidSect="00FB68AC">
          <w:pgSz w:w="11906" w:h="16838"/>
          <w:pgMar w:top="1417" w:right="1417" w:bottom="1417" w:left="1417" w:header="708" w:footer="708" w:gutter="0"/>
          <w:pgBorders w:offsetFrom="page">
            <w:top w:val="dotDotDash" w:sz="4" w:space="24" w:color="auto"/>
            <w:left w:val="dotDotDash" w:sz="4" w:space="24" w:color="auto"/>
            <w:bottom w:val="dotDotDash" w:sz="4" w:space="24" w:color="auto"/>
            <w:right w:val="dotDotDash" w:sz="4" w:space="24" w:color="auto"/>
          </w:pgBorders>
          <w:pgNumType w:start="0"/>
          <w:cols w:space="708"/>
          <w:titlePg/>
          <w:docGrid w:linePitch="360"/>
        </w:sectPr>
      </w:pPr>
    </w:p>
    <w:p w:rsidR="00FF2C06" w:rsidRDefault="00FF2C06" w:rsidP="00FF2C06">
      <w:pPr>
        <w:pStyle w:val="P68B1DB1-Normal5"/>
        <w:tabs>
          <w:tab w:val="left" w:pos="2161"/>
          <w:tab w:val="left" w:leader="dot" w:pos="9072"/>
        </w:tabs>
        <w:spacing w:before="120" w:after="120" w:line="276" w:lineRule="auto"/>
        <w:ind w:firstLine="567"/>
        <w:jc w:val="both"/>
      </w:pPr>
      <w:r>
        <w:t xml:space="preserve">Компонентът за цифрова свързаност на Националния план за възстановяване и устойчивост (НПВУ) на Република България има за цел изграждането на модерна и сигурна цифрова инфраструктура и преодоляването на териториалните дисбаланси, свързани с навлизането на широколентовия достъп. Цифровата инфраструктура е от стратегическо значение за социалното и териториалното сближаване и като цяло за конкурентоспособността, устойчивостта и ускорените цифрови резултати. Цифровизацията оказва дълбоко въздействие върху ежедневния социален, икономически, политически и културен живот на обществото. В това отношение ограниченият достъп и недостатъчното разширяване на мрежата могат да изострят социалните неравенства и по този начин да създадат ново цифрово разделение между хората. Развитието на мрежи с много голям капацитет в отдалечени, селски и слабо населените райони е приоритет и ключов елемент на социалното приобщаване. </w:t>
      </w:r>
    </w:p>
    <w:p w:rsidR="00FF2C06" w:rsidRDefault="00FF2C06" w:rsidP="00FF2C06">
      <w:pPr>
        <w:pStyle w:val="P68B1DB1-Normal5"/>
        <w:tabs>
          <w:tab w:val="left" w:pos="2161"/>
          <w:tab w:val="left" w:leader="dot" w:pos="9072"/>
        </w:tabs>
        <w:spacing w:before="120" w:after="120" w:line="276" w:lineRule="auto"/>
        <w:ind w:firstLine="567"/>
        <w:jc w:val="both"/>
      </w:pPr>
      <w:r>
        <w:t xml:space="preserve">До 2030 г. България трябва да бъде снабдена със симетрични </w:t>
      </w:r>
      <w:proofErr w:type="spellStart"/>
      <w:r>
        <w:t>гигабитови</w:t>
      </w:r>
      <w:proofErr w:type="spellEnd"/>
      <w:r>
        <w:t xml:space="preserve"> мрежи за достъп в цялата страна. Устойчивата оптична мрежа, комбинирана с универсално достъпна мобилна мрежа, ще позволи на всеки гражданин, всеки бизнес и всяка публична институция да използва възможностите за цифровизация при равни условия в цялата страна.</w:t>
      </w:r>
    </w:p>
    <w:p w:rsidR="006F1A4C" w:rsidRDefault="00330EEB">
      <w:pPr>
        <w:pStyle w:val="P68B1DB1-Normal5"/>
        <w:tabs>
          <w:tab w:val="left" w:pos="2161"/>
          <w:tab w:val="left" w:leader="dot" w:pos="9072"/>
        </w:tabs>
        <w:spacing w:before="120" w:after="120" w:line="276" w:lineRule="auto"/>
        <w:ind w:firstLine="567"/>
        <w:jc w:val="both"/>
      </w:pPr>
      <w:r>
        <w:t xml:space="preserve">За да се насърчи </w:t>
      </w:r>
      <w:r w:rsidR="00081707">
        <w:rPr>
          <w:lang w:val="bg-BG"/>
        </w:rPr>
        <w:t>мярката</w:t>
      </w:r>
      <w:r>
        <w:t xml:space="preserve"> и да се подкрепи ангажираността на местния бизнес, българските власти планират да разделят страната на 6 </w:t>
      </w:r>
      <w:r>
        <w:rPr>
          <w:b/>
        </w:rPr>
        <w:t xml:space="preserve">проектни области, които съответстват на 6-те района на планиране. </w:t>
      </w:r>
      <w:r>
        <w:t xml:space="preserve">Това ще позволи, от една страна, да се използват възможностите за централизирано управление на разрешителните процедури, определени в Закона за устройство на територията, и от друга страна, да се създадат </w:t>
      </w:r>
      <w:r w:rsidR="00081707">
        <w:rPr>
          <w:lang w:val="bg-BG"/>
        </w:rPr>
        <w:t xml:space="preserve">съразмерни </w:t>
      </w:r>
      <w:r w:rsidR="008D53E7">
        <w:rPr>
          <w:lang w:val="bg-BG"/>
        </w:rPr>
        <w:t xml:space="preserve">по обхват </w:t>
      </w:r>
      <w:r w:rsidR="00081707">
        <w:rPr>
          <w:lang w:val="bg-BG"/>
        </w:rPr>
        <w:t>области за изпълнението на отделните проекти</w:t>
      </w:r>
      <w:r>
        <w:t xml:space="preserve">. Ние се ангажираме да направим българските региони атрактивни места за живеене, </w:t>
      </w:r>
      <w:r w:rsidR="00081707">
        <w:rPr>
          <w:lang w:val="bg-BG"/>
        </w:rPr>
        <w:t xml:space="preserve">да използваме </w:t>
      </w:r>
      <w:r>
        <w:t xml:space="preserve">ефективно потенциала им за устойчив растеж, </w:t>
      </w:r>
      <w:r w:rsidR="00081707">
        <w:rPr>
          <w:lang w:val="bg-BG"/>
        </w:rPr>
        <w:t xml:space="preserve">да </w:t>
      </w:r>
      <w:r>
        <w:t>създава</w:t>
      </w:r>
      <w:r w:rsidR="00081707">
        <w:rPr>
          <w:lang w:val="bg-BG"/>
        </w:rPr>
        <w:t>м</w:t>
      </w:r>
      <w:r>
        <w:t xml:space="preserve">е работни места, </w:t>
      </w:r>
      <w:r w:rsidR="00081707">
        <w:rPr>
          <w:lang w:val="bg-BG"/>
        </w:rPr>
        <w:t xml:space="preserve">да благоприятстваме развитието на </w:t>
      </w:r>
      <w:r>
        <w:t>бизнес</w:t>
      </w:r>
      <w:r w:rsidR="00081707">
        <w:rPr>
          <w:lang w:val="bg-BG"/>
        </w:rPr>
        <w:t>а</w:t>
      </w:r>
      <w:r w:rsidR="00081707">
        <w:t xml:space="preserve"> и туризма</w:t>
      </w:r>
      <w:r>
        <w:t xml:space="preserve">, </w:t>
      </w:r>
      <w:r w:rsidR="00081707">
        <w:rPr>
          <w:lang w:val="bg-BG"/>
        </w:rPr>
        <w:t>запазвайки</w:t>
      </w:r>
      <w:r>
        <w:t xml:space="preserve"> природно</w:t>
      </w:r>
      <w:r w:rsidR="00081707">
        <w:rPr>
          <w:lang w:val="bg-BG"/>
        </w:rPr>
        <w:t>то</w:t>
      </w:r>
      <w:r>
        <w:t xml:space="preserve"> и културно наследство.</w:t>
      </w:r>
    </w:p>
    <w:p w:rsidR="006F1A4C" w:rsidRDefault="00330EEB">
      <w:pPr>
        <w:pStyle w:val="P68B1DB1-Normal5"/>
        <w:tabs>
          <w:tab w:val="left" w:pos="2161"/>
          <w:tab w:val="left" w:leader="dot" w:pos="9072"/>
        </w:tabs>
        <w:spacing w:before="120" w:after="120" w:line="276" w:lineRule="auto"/>
        <w:ind w:firstLine="567"/>
        <w:jc w:val="both"/>
      </w:pPr>
      <w:r>
        <w:t>За периода 2010</w:t>
      </w:r>
      <w:r w:rsidR="003E7EA7">
        <w:t>-</w:t>
      </w:r>
      <w:r>
        <w:t>2020</w:t>
      </w:r>
      <w:r w:rsidR="00267F2F">
        <w:rPr>
          <w:lang w:val="en-US"/>
        </w:rPr>
        <w:t xml:space="preserve"> </w:t>
      </w:r>
      <w:r>
        <w:t>г. напредъкът в преодоляването на междурегионалните различия в страната е ограничен. Въпреки общата положителна тенде</w:t>
      </w:r>
      <w:r w:rsidR="00267F2F">
        <w:t xml:space="preserve">нция във всички региони до 2020 </w:t>
      </w:r>
      <w:r>
        <w:t xml:space="preserve">г. пет от шестте региона на ниво 2 </w:t>
      </w:r>
      <w:r w:rsidR="003E7EA7">
        <w:t>-</w:t>
      </w:r>
      <w:r>
        <w:t xml:space="preserve"> Северозападен, Северен централен, Югоизточен, Южен централен и Североизточен регион, продължават да бъдат сред десетте региона в ЕС с най-ниски стойности на БВП на глава от населението в сравнение със средните за ЕС.</w:t>
      </w:r>
      <w:r w:rsidRPr="008D53E7">
        <w:rPr>
          <w:vertAlign w:val="superscript"/>
        </w:rPr>
        <w:footnoteReference w:id="1"/>
      </w:r>
      <w:r>
        <w:t xml:space="preserve"> През 2023</w:t>
      </w:r>
      <w:r w:rsidR="00267F2F">
        <w:rPr>
          <w:lang w:val="en-US"/>
        </w:rPr>
        <w:t xml:space="preserve"> </w:t>
      </w:r>
      <w:r>
        <w:t xml:space="preserve">г. равнището на икономическа активност остава под средното за страната в четири от регионите, като е по-високо само в </w:t>
      </w:r>
      <w:r w:rsidR="008D53E7">
        <w:rPr>
          <w:lang w:val="bg-BG"/>
        </w:rPr>
        <w:t>Северозападния</w:t>
      </w:r>
      <w:r>
        <w:t xml:space="preserve"> и </w:t>
      </w:r>
      <w:r w:rsidR="008D53E7">
        <w:rPr>
          <w:lang w:val="bg-BG"/>
        </w:rPr>
        <w:t>Североизточния</w:t>
      </w:r>
      <w:r>
        <w:t xml:space="preserve"> региони.</w:t>
      </w:r>
    </w:p>
    <w:p w:rsidR="006F1A4C" w:rsidRDefault="00330EEB">
      <w:pPr>
        <w:pStyle w:val="P68B1DB1-Normal5"/>
        <w:tabs>
          <w:tab w:val="left" w:pos="2161"/>
          <w:tab w:val="left" w:leader="dot" w:pos="9072"/>
        </w:tabs>
        <w:spacing w:before="120" w:after="120" w:line="276" w:lineRule="auto"/>
        <w:ind w:firstLine="567"/>
        <w:jc w:val="both"/>
      </w:pPr>
      <w:r>
        <w:t xml:space="preserve">Промените в демографския профил на страната показват трайна тенденция на намаляване на населението </w:t>
      </w:r>
      <w:r w:rsidR="008D53E7">
        <w:rPr>
          <w:lang w:val="bg-BG"/>
        </w:rPr>
        <w:t>-</w:t>
      </w:r>
      <w:r>
        <w:t xml:space="preserve"> в периода 2008</w:t>
      </w:r>
      <w:r w:rsidR="008D53E7">
        <w:rPr>
          <w:lang w:val="bg-BG"/>
        </w:rPr>
        <w:t xml:space="preserve"> - </w:t>
      </w:r>
      <w:r>
        <w:t>2022</w:t>
      </w:r>
      <w:r w:rsidR="00267F2F">
        <w:rPr>
          <w:lang w:val="en-US"/>
        </w:rPr>
        <w:t xml:space="preserve"> </w:t>
      </w:r>
      <w:r>
        <w:t xml:space="preserve">г. </w:t>
      </w:r>
      <w:r w:rsidR="008D53E7">
        <w:rPr>
          <w:lang w:val="bg-BG"/>
        </w:rPr>
        <w:t>-</w:t>
      </w:r>
      <w:r>
        <w:t xml:space="preserve"> 15,23</w:t>
      </w:r>
      <w:r w:rsidR="00267F2F">
        <w:rPr>
          <w:lang w:val="en-US"/>
        </w:rPr>
        <w:t xml:space="preserve"> </w:t>
      </w:r>
      <w:r>
        <w:t>%. До края на 2022</w:t>
      </w:r>
      <w:r w:rsidR="00267F2F">
        <w:rPr>
          <w:lang w:val="en-US"/>
        </w:rPr>
        <w:t xml:space="preserve"> </w:t>
      </w:r>
      <w:r>
        <w:t>г. населението на България е 6</w:t>
      </w:r>
      <w:r w:rsidR="00267F2F">
        <w:rPr>
          <w:lang w:val="en-US"/>
        </w:rPr>
        <w:t> </w:t>
      </w:r>
      <w:r>
        <w:t>838</w:t>
      </w:r>
      <w:r w:rsidR="00267F2F">
        <w:rPr>
          <w:lang w:val="en-US"/>
        </w:rPr>
        <w:t xml:space="preserve"> </w:t>
      </w:r>
      <w:r>
        <w:t>937 души.</w:t>
      </w:r>
      <w:r w:rsidRPr="008D53E7">
        <w:rPr>
          <w:vertAlign w:val="superscript"/>
        </w:rPr>
        <w:footnoteReference w:id="2"/>
      </w:r>
      <w:r>
        <w:t xml:space="preserve">  Прогнозите на НСИ потвърждават устойчивостта на тенденцията </w:t>
      </w:r>
      <w:r w:rsidR="008D53E7">
        <w:rPr>
          <w:lang w:val="bg-BG"/>
        </w:rPr>
        <w:t>-</w:t>
      </w:r>
      <w:r>
        <w:t xml:space="preserve"> през 2030</w:t>
      </w:r>
      <w:r w:rsidR="00267F2F">
        <w:rPr>
          <w:lang w:val="en-US"/>
        </w:rPr>
        <w:t xml:space="preserve"> </w:t>
      </w:r>
      <w:r>
        <w:t>г. населението на България се очаква да намалее до 6</w:t>
      </w:r>
      <w:r w:rsidR="00267F2F">
        <w:rPr>
          <w:lang w:val="en-US"/>
        </w:rPr>
        <w:t xml:space="preserve"> </w:t>
      </w:r>
      <w:r>
        <w:t>007</w:t>
      </w:r>
      <w:r w:rsidR="00267F2F">
        <w:rPr>
          <w:lang w:val="en-US"/>
        </w:rPr>
        <w:t xml:space="preserve"> </w:t>
      </w:r>
      <w:r w:rsidR="00267F2F">
        <w:t xml:space="preserve">657 души, а през 2040 </w:t>
      </w:r>
      <w:r>
        <w:t>г. до 5</w:t>
      </w:r>
      <w:r w:rsidR="00267F2F">
        <w:rPr>
          <w:lang w:val="en-US"/>
        </w:rPr>
        <w:t> </w:t>
      </w:r>
      <w:r>
        <w:t>637</w:t>
      </w:r>
      <w:r w:rsidR="00267F2F">
        <w:rPr>
          <w:lang w:val="en-US"/>
        </w:rPr>
        <w:t xml:space="preserve"> </w:t>
      </w:r>
      <w:r>
        <w:t>361 души. Забележително е бързото намаляване на населението през относително по-кратките периоди 2008</w:t>
      </w:r>
      <w:r w:rsidR="008D53E7">
        <w:rPr>
          <w:lang w:val="bg-BG"/>
        </w:rPr>
        <w:t>-</w:t>
      </w:r>
      <w:r>
        <w:t>2011 г. с 3,72 % и 2021</w:t>
      </w:r>
      <w:r w:rsidR="008D53E7">
        <w:rPr>
          <w:lang w:val="bg-BG"/>
        </w:rPr>
        <w:t>-</w:t>
      </w:r>
      <w:r>
        <w:t xml:space="preserve">2022 г. с 5,72 %. </w:t>
      </w:r>
      <w:r w:rsidR="001C5DAD">
        <w:rPr>
          <w:lang w:val="bg-BG"/>
        </w:rPr>
        <w:t xml:space="preserve">Намаляването </w:t>
      </w:r>
      <w:r>
        <w:t xml:space="preserve">на населението през периода </w:t>
      </w:r>
      <w:r w:rsidR="001C5DAD">
        <w:rPr>
          <w:lang w:val="bg-BG"/>
        </w:rPr>
        <w:t xml:space="preserve">на </w:t>
      </w:r>
      <w:r w:rsidR="003077CE">
        <w:rPr>
          <w:lang w:val="bg-BG"/>
        </w:rPr>
        <w:t xml:space="preserve">действие </w:t>
      </w:r>
      <w:r>
        <w:t>на Националната стратегия за регионално развитие (2012</w:t>
      </w:r>
      <w:r w:rsidR="001C5DAD">
        <w:rPr>
          <w:lang w:val="bg-BG"/>
        </w:rPr>
        <w:t>-</w:t>
      </w:r>
      <w:r>
        <w:t xml:space="preserve">2022 г.) е 12 %, с особено значителен спад през последната година, като около 40 % се дължи главно на областите от Северен централен и Североизточен регион. </w:t>
      </w:r>
      <w:r w:rsidRPr="001C5DAD">
        <w:rPr>
          <w:vertAlign w:val="superscript"/>
        </w:rPr>
        <w:footnoteReference w:id="3"/>
      </w:r>
      <w:r>
        <w:t xml:space="preserve"> </w:t>
      </w:r>
    </w:p>
    <w:p w:rsidR="006F1A4C" w:rsidRDefault="00330EEB">
      <w:pPr>
        <w:pStyle w:val="P68B1DB1-Normal5"/>
        <w:tabs>
          <w:tab w:val="left" w:pos="2161"/>
          <w:tab w:val="left" w:leader="dot" w:pos="9072"/>
        </w:tabs>
        <w:spacing w:before="120" w:after="120" w:line="276" w:lineRule="auto"/>
        <w:ind w:firstLine="567"/>
        <w:jc w:val="both"/>
      </w:pPr>
      <w:r>
        <w:t xml:space="preserve">Населението на всички райони на ниво 2 на страната намалява, като най-значително е </w:t>
      </w:r>
      <w:r w:rsidR="001C5DAD">
        <w:rPr>
          <w:lang w:val="bg-BG"/>
        </w:rPr>
        <w:t>намаляването</w:t>
      </w:r>
      <w:r w:rsidR="00492076">
        <w:t xml:space="preserve"> в периода 2011</w:t>
      </w:r>
      <w:r w:rsidR="001C5DAD">
        <w:rPr>
          <w:lang w:val="bg-BG"/>
        </w:rPr>
        <w:t>-</w:t>
      </w:r>
      <w:r w:rsidR="00492076">
        <w:t xml:space="preserve">2022 </w:t>
      </w:r>
      <w:r>
        <w:t xml:space="preserve">г. в трите региона на Северна България </w:t>
      </w:r>
      <w:r w:rsidR="001C5DAD">
        <w:rPr>
          <w:lang w:val="bg-BG"/>
        </w:rPr>
        <w:t>–</w:t>
      </w:r>
      <w:r>
        <w:t xml:space="preserve"> Северозападен</w:t>
      </w:r>
      <w:r w:rsidR="001C5DAD">
        <w:rPr>
          <w:lang w:val="bg-BG"/>
        </w:rPr>
        <w:t xml:space="preserve"> </w:t>
      </w:r>
      <w:r>
        <w:t>-</w:t>
      </w:r>
      <w:r w:rsidR="001C5DAD">
        <w:rPr>
          <w:lang w:val="bg-BG"/>
        </w:rPr>
        <w:t xml:space="preserve"> </w:t>
      </w:r>
      <w:r>
        <w:t>19,7 %, Северен централен -</w:t>
      </w:r>
      <w:r w:rsidR="001C5DAD">
        <w:rPr>
          <w:lang w:val="bg-BG"/>
        </w:rPr>
        <w:t xml:space="preserve"> </w:t>
      </w:r>
      <w:r>
        <w:t>19,6 % и Североизточен -</w:t>
      </w:r>
      <w:r w:rsidR="001C5DAD">
        <w:rPr>
          <w:lang w:val="bg-BG"/>
        </w:rPr>
        <w:t xml:space="preserve"> </w:t>
      </w:r>
      <w:r>
        <w:t xml:space="preserve">14,4 %. </w:t>
      </w:r>
      <w:r w:rsidR="001C5DAD" w:rsidRPr="001C5DAD">
        <w:t>Намаляването</w:t>
      </w:r>
      <w:r>
        <w:t xml:space="preserve"> на населението в Югозападния регион за периода е 5,4 %, следвано от Югоизточен и </w:t>
      </w:r>
      <w:r w:rsidR="00492076">
        <w:rPr>
          <w:lang w:val="bg-BG"/>
        </w:rPr>
        <w:t>Южен централен</w:t>
      </w:r>
      <w:r>
        <w:t xml:space="preserve"> регион със съответно 11,56 % и 11,6 %. </w:t>
      </w:r>
    </w:p>
    <w:p w:rsidR="006F1A4C" w:rsidRDefault="00330EEB">
      <w:pPr>
        <w:pStyle w:val="P68B1DB1-Normal6"/>
        <w:spacing w:after="0" w:line="240" w:lineRule="auto"/>
        <w:ind w:firstLine="567"/>
        <w:jc w:val="both"/>
      </w:pPr>
      <w:r>
        <w:t>До 2020</w:t>
      </w:r>
      <w:r w:rsidR="00492076">
        <w:rPr>
          <w:lang w:val="bg-BG"/>
        </w:rPr>
        <w:t xml:space="preserve"> </w:t>
      </w:r>
      <w:r>
        <w:t xml:space="preserve">г. </w:t>
      </w:r>
      <w:r w:rsidR="00267F2F">
        <w:rPr>
          <w:lang w:val="bg-BG"/>
        </w:rPr>
        <w:t>Северозападния</w:t>
      </w:r>
      <w:r w:rsidR="001C5DAD">
        <w:rPr>
          <w:lang w:val="bg-BG"/>
        </w:rPr>
        <w:t>т</w:t>
      </w:r>
      <w:r>
        <w:t xml:space="preserve"> и </w:t>
      </w:r>
      <w:r w:rsidR="00267F2F">
        <w:rPr>
          <w:lang w:val="bg-BG"/>
        </w:rPr>
        <w:t>Северния</w:t>
      </w:r>
      <w:r w:rsidR="001C5DAD">
        <w:rPr>
          <w:lang w:val="bg-BG"/>
        </w:rPr>
        <w:t>т</w:t>
      </w:r>
      <w:r>
        <w:t xml:space="preserve"> </w:t>
      </w:r>
      <w:r w:rsidR="001A7720">
        <w:rPr>
          <w:lang w:val="bg-BG"/>
        </w:rPr>
        <w:t>централен</w:t>
      </w:r>
      <w:r>
        <w:t xml:space="preserve"> региони не отговарят на изискванията на Регламент (ЕО) № 1059/2003 и са под долната граница за регион от ниво 2 по NUTS, а през 2030 г. населението на Североизточен регион също се очаква да бъде под долната граница. (</w:t>
      </w:r>
      <w:r>
        <w:rPr>
          <w:i/>
        </w:rPr>
        <w:t>стр. 44</w:t>
      </w:r>
      <w:r w:rsidR="001C5DAD">
        <w:rPr>
          <w:i/>
          <w:lang w:val="bg-BG"/>
        </w:rPr>
        <w:t>-</w:t>
      </w:r>
      <w:r>
        <w:rPr>
          <w:i/>
        </w:rPr>
        <w:t>45 Окончателен доклад за изпълнението на националната стратегия за регионално развитие за периода 2012</w:t>
      </w:r>
      <w:r w:rsidR="001C5DAD">
        <w:rPr>
          <w:i/>
          <w:lang w:val="bg-BG"/>
        </w:rPr>
        <w:t>-</w:t>
      </w:r>
      <w:r>
        <w:rPr>
          <w:i/>
        </w:rPr>
        <w:t>2022</w:t>
      </w:r>
      <w:r w:rsidR="00492076">
        <w:rPr>
          <w:i/>
          <w:lang w:val="bg-BG"/>
        </w:rPr>
        <w:t xml:space="preserve"> </w:t>
      </w:r>
      <w:r>
        <w:t>г.) Към 2022 г. 15 от 28-те области в страната, включени в шестте региона, не отговарят на изискванията на Регламент (ЕО) № 1059/2003, според които населението в административни единици от ниво 3 следва да бъде най-малко 150</w:t>
      </w:r>
      <w:r w:rsidR="009F1786">
        <w:rPr>
          <w:lang w:val="bg-BG"/>
        </w:rPr>
        <w:t xml:space="preserve"> </w:t>
      </w:r>
      <w:r>
        <w:t xml:space="preserve">000. Това са 4 области в </w:t>
      </w:r>
      <w:r w:rsidR="009F1786">
        <w:rPr>
          <w:lang w:val="bg-BG"/>
        </w:rPr>
        <w:t>Северозападен</w:t>
      </w:r>
      <w:r>
        <w:t xml:space="preserve"> регион, 3 области в Североизточен регион,  1 област в Югоизточен регион, 2 области в </w:t>
      </w:r>
      <w:r w:rsidR="009F1786">
        <w:rPr>
          <w:lang w:val="bg-BG"/>
        </w:rPr>
        <w:t>Югозападен</w:t>
      </w:r>
      <w:r>
        <w:t xml:space="preserve"> регион и 1 област в Южен централен регион.</w:t>
      </w:r>
    </w:p>
    <w:p w:rsidR="006F1A4C" w:rsidRDefault="006F1A4C">
      <w:pPr>
        <w:spacing w:after="0" w:line="240" w:lineRule="auto"/>
        <w:ind w:firstLine="567"/>
        <w:jc w:val="both"/>
        <w:rPr>
          <w:rFonts w:ascii="Times New Roman" w:eastAsia="Calibri" w:hAnsi="Times New Roman" w:cs="Times New Roman"/>
          <w:sz w:val="24"/>
        </w:rPr>
      </w:pPr>
    </w:p>
    <w:p w:rsidR="006F1A4C" w:rsidRDefault="00330EEB">
      <w:pPr>
        <w:pStyle w:val="P68B1DB1-Normal7"/>
        <w:spacing w:after="0" w:line="240" w:lineRule="auto"/>
        <w:ind w:firstLine="567"/>
        <w:jc w:val="both"/>
      </w:pPr>
      <w:r>
        <w:t>Социално-икономически анализ</w:t>
      </w:r>
    </w:p>
    <w:p w:rsidR="006F1A4C" w:rsidRDefault="006F1A4C">
      <w:pPr>
        <w:spacing w:after="0" w:line="240" w:lineRule="auto"/>
        <w:ind w:firstLine="567"/>
        <w:jc w:val="both"/>
        <w:rPr>
          <w:rFonts w:ascii="Times New Roman" w:eastAsia="Calibri" w:hAnsi="Times New Roman" w:cs="Times New Roman"/>
          <w:b/>
          <w:sz w:val="24"/>
        </w:rPr>
      </w:pPr>
    </w:p>
    <w:tbl>
      <w:tblPr>
        <w:tblW w:w="6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32"/>
        <w:gridCol w:w="1811"/>
        <w:gridCol w:w="1276"/>
        <w:gridCol w:w="1275"/>
      </w:tblGrid>
      <w:tr w:rsidR="006F1A4C">
        <w:trPr>
          <w:trHeight w:val="300"/>
          <w:jc w:val="center"/>
        </w:trPr>
        <w:tc>
          <w:tcPr>
            <w:tcW w:w="2432" w:type="dxa"/>
            <w:shd w:val="clear" w:color="000000" w:fill="FEF4E3"/>
            <w:vAlign w:val="center"/>
            <w:hideMark/>
          </w:tcPr>
          <w:p w:rsidR="006F1A4C" w:rsidRDefault="00330EEB">
            <w:pPr>
              <w:pStyle w:val="P68B1DB1-Normal8"/>
              <w:spacing w:after="0" w:line="240" w:lineRule="auto"/>
              <w:jc w:val="center"/>
            </w:pPr>
            <w:r>
              <w:t>Статистически региони</w:t>
            </w:r>
          </w:p>
        </w:tc>
        <w:tc>
          <w:tcPr>
            <w:tcW w:w="1811" w:type="dxa"/>
            <w:shd w:val="clear" w:color="000000" w:fill="FEF4E3"/>
            <w:vAlign w:val="center"/>
            <w:hideMark/>
          </w:tcPr>
          <w:p w:rsidR="006F1A4C" w:rsidRDefault="00330EEB">
            <w:pPr>
              <w:pStyle w:val="P68B1DB1-Normal8"/>
              <w:spacing w:after="0" w:line="240" w:lineRule="auto"/>
            </w:pPr>
            <w:r>
              <w:t>Общ брой на населението за страната</w:t>
            </w:r>
          </w:p>
        </w:tc>
        <w:tc>
          <w:tcPr>
            <w:tcW w:w="1276" w:type="dxa"/>
            <w:shd w:val="clear" w:color="000000" w:fill="FEF4E3"/>
            <w:vAlign w:val="center"/>
            <w:hideMark/>
          </w:tcPr>
          <w:p w:rsidR="006F1A4C" w:rsidRDefault="00330EEB">
            <w:pPr>
              <w:pStyle w:val="P68B1DB1-Normal8"/>
              <w:spacing w:after="0" w:line="240" w:lineRule="auto"/>
            </w:pPr>
            <w:r>
              <w:t>В градовете</w:t>
            </w:r>
          </w:p>
        </w:tc>
        <w:tc>
          <w:tcPr>
            <w:tcW w:w="1275" w:type="dxa"/>
            <w:shd w:val="clear" w:color="000000" w:fill="FEF4E3"/>
            <w:vAlign w:val="center"/>
            <w:hideMark/>
          </w:tcPr>
          <w:p w:rsidR="006F1A4C" w:rsidRDefault="00330EEB">
            <w:pPr>
              <w:pStyle w:val="P68B1DB1-Normal8"/>
              <w:spacing w:after="0" w:line="240" w:lineRule="auto"/>
            </w:pPr>
            <w:r>
              <w:t>В селата</w:t>
            </w:r>
          </w:p>
        </w:tc>
      </w:tr>
      <w:tr w:rsidR="006F1A4C">
        <w:trPr>
          <w:trHeight w:val="876"/>
          <w:jc w:val="center"/>
        </w:trPr>
        <w:tc>
          <w:tcPr>
            <w:tcW w:w="2432" w:type="dxa"/>
            <w:shd w:val="clear" w:color="000000" w:fill="FEF4E3"/>
            <w:vAlign w:val="center"/>
            <w:hideMark/>
          </w:tcPr>
          <w:p w:rsidR="006F1A4C" w:rsidRDefault="006F1A4C">
            <w:pPr>
              <w:spacing w:after="0" w:line="240" w:lineRule="auto"/>
              <w:jc w:val="center"/>
              <w:rPr>
                <w:rFonts w:ascii="Times New Roman" w:eastAsia="Times New Roman" w:hAnsi="Times New Roman" w:cs="Times New Roman"/>
                <w:b/>
                <w:color w:val="000000"/>
                <w:sz w:val="24"/>
              </w:rPr>
            </w:pPr>
          </w:p>
        </w:tc>
        <w:tc>
          <w:tcPr>
            <w:tcW w:w="1811" w:type="dxa"/>
            <w:shd w:val="clear" w:color="000000" w:fill="FEF4E3"/>
            <w:vAlign w:val="center"/>
            <w:hideMark/>
          </w:tcPr>
          <w:p w:rsidR="006F1A4C" w:rsidRDefault="00330EEB">
            <w:pPr>
              <w:pStyle w:val="P68B1DB1-Normal8"/>
              <w:spacing w:after="0" w:line="240" w:lineRule="auto"/>
              <w:jc w:val="right"/>
            </w:pPr>
            <w:r>
              <w:t>6 446 596</w:t>
            </w:r>
          </w:p>
        </w:tc>
        <w:tc>
          <w:tcPr>
            <w:tcW w:w="1276" w:type="dxa"/>
            <w:shd w:val="clear" w:color="000000" w:fill="FEF4E3"/>
            <w:vAlign w:val="center"/>
            <w:hideMark/>
          </w:tcPr>
          <w:p w:rsidR="006F1A4C" w:rsidRDefault="00330EEB">
            <w:pPr>
              <w:pStyle w:val="P68B1DB1-Normal8"/>
              <w:spacing w:after="0" w:line="240" w:lineRule="auto"/>
              <w:jc w:val="right"/>
            </w:pPr>
            <w:r>
              <w:t>4 742 586</w:t>
            </w:r>
          </w:p>
        </w:tc>
        <w:tc>
          <w:tcPr>
            <w:tcW w:w="1275" w:type="dxa"/>
            <w:shd w:val="clear" w:color="000000" w:fill="FEF4E3"/>
            <w:vAlign w:val="center"/>
            <w:hideMark/>
          </w:tcPr>
          <w:p w:rsidR="006F1A4C" w:rsidRDefault="00330EEB">
            <w:pPr>
              <w:pStyle w:val="P68B1DB1-Normal8"/>
              <w:spacing w:after="0" w:line="240" w:lineRule="auto"/>
              <w:jc w:val="right"/>
            </w:pPr>
            <w:r>
              <w:t>1 704 010</w:t>
            </w:r>
          </w:p>
        </w:tc>
      </w:tr>
      <w:tr w:rsidR="006F1A4C">
        <w:trPr>
          <w:trHeight w:val="588"/>
          <w:jc w:val="center"/>
        </w:trPr>
        <w:tc>
          <w:tcPr>
            <w:tcW w:w="2432" w:type="dxa"/>
            <w:shd w:val="clear" w:color="000000" w:fill="FEF4E3"/>
            <w:vAlign w:val="center"/>
            <w:hideMark/>
          </w:tcPr>
          <w:p w:rsidR="006F1A4C" w:rsidRPr="001A7720" w:rsidRDefault="00330EEB">
            <w:pPr>
              <w:pStyle w:val="P68B1DB1-Normal5"/>
              <w:spacing w:after="0" w:line="240" w:lineRule="auto"/>
              <w:rPr>
                <w:lang w:val="bg-BG"/>
              </w:rPr>
            </w:pPr>
            <w:r>
              <w:t>Северозапад</w:t>
            </w:r>
            <w:r w:rsidR="001A7720">
              <w:rPr>
                <w:lang w:val="bg-BG"/>
              </w:rPr>
              <w:t>ен</w:t>
            </w:r>
          </w:p>
        </w:tc>
        <w:tc>
          <w:tcPr>
            <w:tcW w:w="1811" w:type="dxa"/>
            <w:shd w:val="clear" w:color="000000" w:fill="FEF4E3"/>
            <w:vAlign w:val="center"/>
            <w:hideMark/>
          </w:tcPr>
          <w:p w:rsidR="006F1A4C" w:rsidRDefault="00330EEB">
            <w:pPr>
              <w:pStyle w:val="P68B1DB1-Normal5"/>
              <w:spacing w:after="0" w:line="240" w:lineRule="auto"/>
              <w:jc w:val="right"/>
            </w:pPr>
            <w:r>
              <w:t>667 763</w:t>
            </w:r>
          </w:p>
        </w:tc>
        <w:tc>
          <w:tcPr>
            <w:tcW w:w="1276" w:type="dxa"/>
            <w:shd w:val="clear" w:color="000000" w:fill="FEF4E3"/>
            <w:vAlign w:val="center"/>
            <w:hideMark/>
          </w:tcPr>
          <w:p w:rsidR="006F1A4C" w:rsidRDefault="00330EEB">
            <w:pPr>
              <w:pStyle w:val="P68B1DB1-Normal5"/>
              <w:spacing w:after="0" w:line="240" w:lineRule="auto"/>
              <w:jc w:val="right"/>
            </w:pPr>
            <w:r>
              <w:t>424 863</w:t>
            </w:r>
          </w:p>
        </w:tc>
        <w:tc>
          <w:tcPr>
            <w:tcW w:w="1275" w:type="dxa"/>
            <w:shd w:val="clear" w:color="000000" w:fill="FEF4E3"/>
            <w:vAlign w:val="center"/>
            <w:hideMark/>
          </w:tcPr>
          <w:p w:rsidR="006F1A4C" w:rsidRDefault="00330EEB">
            <w:pPr>
              <w:pStyle w:val="P68B1DB1-Normal5"/>
              <w:spacing w:after="0" w:line="240" w:lineRule="auto"/>
              <w:jc w:val="right"/>
            </w:pPr>
            <w:r>
              <w:t>242 900</w:t>
            </w:r>
          </w:p>
        </w:tc>
      </w:tr>
      <w:tr w:rsidR="006F1A4C">
        <w:trPr>
          <w:trHeight w:val="588"/>
          <w:jc w:val="center"/>
        </w:trPr>
        <w:tc>
          <w:tcPr>
            <w:tcW w:w="2432" w:type="dxa"/>
            <w:shd w:val="clear" w:color="000000" w:fill="FEF4E3"/>
            <w:vAlign w:val="center"/>
            <w:hideMark/>
          </w:tcPr>
          <w:p w:rsidR="006F1A4C" w:rsidRDefault="00330EEB">
            <w:pPr>
              <w:pStyle w:val="P68B1DB1-Normal5"/>
              <w:spacing w:after="0" w:line="240" w:lineRule="auto"/>
            </w:pPr>
            <w:r>
              <w:t>Северен централен</w:t>
            </w:r>
          </w:p>
        </w:tc>
        <w:tc>
          <w:tcPr>
            <w:tcW w:w="1811" w:type="dxa"/>
            <w:shd w:val="clear" w:color="000000" w:fill="FEF4E3"/>
            <w:vAlign w:val="center"/>
            <w:hideMark/>
          </w:tcPr>
          <w:p w:rsidR="006F1A4C" w:rsidRDefault="00330EEB">
            <w:pPr>
              <w:pStyle w:val="P68B1DB1-Normal5"/>
              <w:spacing w:after="0" w:line="240" w:lineRule="auto"/>
              <w:jc w:val="right"/>
            </w:pPr>
            <w:r>
              <w:t>683 347</w:t>
            </w:r>
          </w:p>
        </w:tc>
        <w:tc>
          <w:tcPr>
            <w:tcW w:w="1276" w:type="dxa"/>
            <w:shd w:val="clear" w:color="000000" w:fill="FEF4E3"/>
            <w:vAlign w:val="center"/>
            <w:hideMark/>
          </w:tcPr>
          <w:p w:rsidR="006F1A4C" w:rsidRDefault="00330EEB">
            <w:pPr>
              <w:pStyle w:val="P68B1DB1-Normal5"/>
              <w:spacing w:after="0" w:line="240" w:lineRule="auto"/>
              <w:jc w:val="right"/>
            </w:pPr>
            <w:r>
              <w:t>455 223</w:t>
            </w:r>
          </w:p>
        </w:tc>
        <w:tc>
          <w:tcPr>
            <w:tcW w:w="1275" w:type="dxa"/>
            <w:shd w:val="clear" w:color="000000" w:fill="FEF4E3"/>
            <w:vAlign w:val="center"/>
            <w:hideMark/>
          </w:tcPr>
          <w:p w:rsidR="006F1A4C" w:rsidRDefault="00330EEB">
            <w:pPr>
              <w:pStyle w:val="P68B1DB1-Normal5"/>
              <w:spacing w:after="0" w:line="240" w:lineRule="auto"/>
              <w:jc w:val="right"/>
            </w:pPr>
            <w:r>
              <w:t>228 124</w:t>
            </w:r>
          </w:p>
        </w:tc>
      </w:tr>
      <w:tr w:rsidR="006F1A4C">
        <w:trPr>
          <w:trHeight w:val="588"/>
          <w:jc w:val="center"/>
        </w:trPr>
        <w:tc>
          <w:tcPr>
            <w:tcW w:w="2432" w:type="dxa"/>
            <w:shd w:val="clear" w:color="000000" w:fill="FEF4E3"/>
            <w:vAlign w:val="center"/>
            <w:hideMark/>
          </w:tcPr>
          <w:p w:rsidR="006F1A4C" w:rsidRDefault="00330EEB">
            <w:pPr>
              <w:pStyle w:val="P68B1DB1-Normal5"/>
              <w:spacing w:after="0" w:line="240" w:lineRule="auto"/>
            </w:pPr>
            <w:r>
              <w:t>Североизточен</w:t>
            </w:r>
          </w:p>
        </w:tc>
        <w:tc>
          <w:tcPr>
            <w:tcW w:w="1811" w:type="dxa"/>
            <w:shd w:val="clear" w:color="000000" w:fill="FEF4E3"/>
            <w:vAlign w:val="center"/>
            <w:hideMark/>
          </w:tcPr>
          <w:p w:rsidR="006F1A4C" w:rsidRDefault="00330EEB">
            <w:pPr>
              <w:pStyle w:val="P68B1DB1-Normal5"/>
              <w:spacing w:after="0" w:line="240" w:lineRule="auto"/>
              <w:jc w:val="right"/>
            </w:pPr>
            <w:r>
              <w:t>825 009</w:t>
            </w:r>
          </w:p>
        </w:tc>
        <w:tc>
          <w:tcPr>
            <w:tcW w:w="1276" w:type="dxa"/>
            <w:shd w:val="clear" w:color="000000" w:fill="FEF4E3"/>
            <w:vAlign w:val="center"/>
            <w:hideMark/>
          </w:tcPr>
          <w:p w:rsidR="006F1A4C" w:rsidRDefault="00330EEB">
            <w:pPr>
              <w:pStyle w:val="P68B1DB1-Normal5"/>
              <w:spacing w:after="0" w:line="240" w:lineRule="auto"/>
              <w:jc w:val="right"/>
            </w:pPr>
            <w:r>
              <w:t>614 806</w:t>
            </w:r>
          </w:p>
        </w:tc>
        <w:tc>
          <w:tcPr>
            <w:tcW w:w="1275" w:type="dxa"/>
            <w:shd w:val="clear" w:color="000000" w:fill="FEF4E3"/>
            <w:vAlign w:val="center"/>
            <w:hideMark/>
          </w:tcPr>
          <w:p w:rsidR="006F1A4C" w:rsidRDefault="00330EEB">
            <w:pPr>
              <w:pStyle w:val="P68B1DB1-Normal5"/>
              <w:spacing w:after="0" w:line="240" w:lineRule="auto"/>
              <w:jc w:val="right"/>
            </w:pPr>
            <w:r>
              <w:t>210 203</w:t>
            </w:r>
          </w:p>
        </w:tc>
      </w:tr>
      <w:tr w:rsidR="006F1A4C">
        <w:trPr>
          <w:trHeight w:val="588"/>
          <w:jc w:val="center"/>
        </w:trPr>
        <w:tc>
          <w:tcPr>
            <w:tcW w:w="2432" w:type="dxa"/>
            <w:shd w:val="clear" w:color="000000" w:fill="FEF4E3"/>
            <w:vAlign w:val="center"/>
            <w:hideMark/>
          </w:tcPr>
          <w:p w:rsidR="006F1A4C" w:rsidRDefault="001A7720">
            <w:pPr>
              <w:pStyle w:val="P68B1DB1-Normal5"/>
              <w:spacing w:after="0" w:line="240" w:lineRule="auto"/>
            </w:pPr>
            <w:r>
              <w:t>Югоизточен</w:t>
            </w:r>
          </w:p>
        </w:tc>
        <w:tc>
          <w:tcPr>
            <w:tcW w:w="1811" w:type="dxa"/>
            <w:shd w:val="clear" w:color="000000" w:fill="FEF4E3"/>
            <w:vAlign w:val="center"/>
            <w:hideMark/>
          </w:tcPr>
          <w:p w:rsidR="006F1A4C" w:rsidRDefault="00330EEB">
            <w:pPr>
              <w:pStyle w:val="P68B1DB1-Normal5"/>
              <w:spacing w:after="0" w:line="240" w:lineRule="auto"/>
              <w:jc w:val="right"/>
            </w:pPr>
            <w:r>
              <w:t>949 789</w:t>
            </w:r>
          </w:p>
        </w:tc>
        <w:tc>
          <w:tcPr>
            <w:tcW w:w="1276" w:type="dxa"/>
            <w:shd w:val="clear" w:color="000000" w:fill="FEF4E3"/>
            <w:vAlign w:val="center"/>
            <w:hideMark/>
          </w:tcPr>
          <w:p w:rsidR="006F1A4C" w:rsidRDefault="00330EEB">
            <w:pPr>
              <w:pStyle w:val="P68B1DB1-Normal5"/>
              <w:spacing w:after="0" w:line="240" w:lineRule="auto"/>
              <w:jc w:val="right"/>
            </w:pPr>
            <w:r>
              <w:t>684 789</w:t>
            </w:r>
          </w:p>
        </w:tc>
        <w:tc>
          <w:tcPr>
            <w:tcW w:w="1275" w:type="dxa"/>
            <w:shd w:val="clear" w:color="000000" w:fill="FEF4E3"/>
            <w:vAlign w:val="center"/>
            <w:hideMark/>
          </w:tcPr>
          <w:p w:rsidR="006F1A4C" w:rsidRDefault="00330EEB">
            <w:pPr>
              <w:pStyle w:val="P68B1DB1-Normal5"/>
              <w:spacing w:after="0" w:line="240" w:lineRule="auto"/>
              <w:jc w:val="right"/>
            </w:pPr>
            <w:r>
              <w:t>265 000</w:t>
            </w:r>
          </w:p>
        </w:tc>
      </w:tr>
      <w:tr w:rsidR="006F1A4C">
        <w:trPr>
          <w:trHeight w:val="588"/>
          <w:jc w:val="center"/>
        </w:trPr>
        <w:tc>
          <w:tcPr>
            <w:tcW w:w="2432" w:type="dxa"/>
            <w:shd w:val="clear" w:color="000000" w:fill="FEF4E3"/>
            <w:vAlign w:val="center"/>
            <w:hideMark/>
          </w:tcPr>
          <w:p w:rsidR="006F1A4C" w:rsidRDefault="00330EEB">
            <w:pPr>
              <w:pStyle w:val="P68B1DB1-Normal5"/>
              <w:spacing w:after="0" w:line="240" w:lineRule="auto"/>
            </w:pPr>
            <w:r>
              <w:t>Югозападен</w:t>
            </w:r>
          </w:p>
        </w:tc>
        <w:tc>
          <w:tcPr>
            <w:tcW w:w="1811" w:type="dxa"/>
            <w:shd w:val="clear" w:color="000000" w:fill="FEF4E3"/>
            <w:vAlign w:val="center"/>
            <w:hideMark/>
          </w:tcPr>
          <w:p w:rsidR="006F1A4C" w:rsidRDefault="00330EEB">
            <w:pPr>
              <w:pStyle w:val="P68B1DB1-Normal5"/>
              <w:spacing w:after="0" w:line="240" w:lineRule="auto"/>
              <w:jc w:val="right"/>
            </w:pPr>
            <w:r>
              <w:t>2 017 861</w:t>
            </w:r>
          </w:p>
        </w:tc>
        <w:tc>
          <w:tcPr>
            <w:tcW w:w="1276" w:type="dxa"/>
            <w:shd w:val="clear" w:color="000000" w:fill="FEF4E3"/>
            <w:vAlign w:val="center"/>
            <w:hideMark/>
          </w:tcPr>
          <w:p w:rsidR="006F1A4C" w:rsidRDefault="00330EEB">
            <w:pPr>
              <w:pStyle w:val="P68B1DB1-Normal5"/>
              <w:spacing w:after="0" w:line="240" w:lineRule="auto"/>
              <w:jc w:val="right"/>
            </w:pPr>
            <w:r>
              <w:t>1 691 076</w:t>
            </w:r>
          </w:p>
        </w:tc>
        <w:tc>
          <w:tcPr>
            <w:tcW w:w="1275" w:type="dxa"/>
            <w:shd w:val="clear" w:color="000000" w:fill="FEF4E3"/>
            <w:vAlign w:val="center"/>
            <w:hideMark/>
          </w:tcPr>
          <w:p w:rsidR="006F1A4C" w:rsidRDefault="00330EEB">
            <w:pPr>
              <w:pStyle w:val="P68B1DB1-Normal5"/>
              <w:spacing w:after="0" w:line="240" w:lineRule="auto"/>
              <w:jc w:val="right"/>
            </w:pPr>
            <w:r>
              <w:t>326 785</w:t>
            </w:r>
          </w:p>
        </w:tc>
      </w:tr>
      <w:tr w:rsidR="006F1A4C">
        <w:trPr>
          <w:trHeight w:val="588"/>
          <w:jc w:val="center"/>
        </w:trPr>
        <w:tc>
          <w:tcPr>
            <w:tcW w:w="2432" w:type="dxa"/>
            <w:shd w:val="clear" w:color="000000" w:fill="FEF4E3"/>
            <w:vAlign w:val="center"/>
            <w:hideMark/>
          </w:tcPr>
          <w:p w:rsidR="006F1A4C" w:rsidRDefault="00330EEB">
            <w:pPr>
              <w:pStyle w:val="P68B1DB1-Normal5"/>
              <w:spacing w:after="0" w:line="240" w:lineRule="auto"/>
            </w:pPr>
            <w:r>
              <w:t>Южен централен</w:t>
            </w:r>
          </w:p>
        </w:tc>
        <w:tc>
          <w:tcPr>
            <w:tcW w:w="1811" w:type="dxa"/>
            <w:shd w:val="clear" w:color="000000" w:fill="FEF4E3"/>
            <w:vAlign w:val="center"/>
            <w:hideMark/>
          </w:tcPr>
          <w:p w:rsidR="006F1A4C" w:rsidRDefault="00330EEB">
            <w:pPr>
              <w:pStyle w:val="P68B1DB1-Normal5"/>
              <w:spacing w:after="0" w:line="240" w:lineRule="auto"/>
              <w:jc w:val="right"/>
            </w:pPr>
            <w:r>
              <w:t>1 302 828</w:t>
            </w:r>
          </w:p>
        </w:tc>
        <w:tc>
          <w:tcPr>
            <w:tcW w:w="1276" w:type="dxa"/>
            <w:shd w:val="clear" w:color="000000" w:fill="FEF4E3"/>
            <w:vAlign w:val="center"/>
            <w:hideMark/>
          </w:tcPr>
          <w:p w:rsidR="006F1A4C" w:rsidRDefault="00330EEB">
            <w:pPr>
              <w:pStyle w:val="P68B1DB1-Normal5"/>
              <w:spacing w:after="0" w:line="240" w:lineRule="auto"/>
              <w:jc w:val="right"/>
            </w:pPr>
            <w:r>
              <w:t>871 829</w:t>
            </w:r>
          </w:p>
        </w:tc>
        <w:tc>
          <w:tcPr>
            <w:tcW w:w="1275" w:type="dxa"/>
            <w:shd w:val="clear" w:color="000000" w:fill="FEF4E3"/>
            <w:vAlign w:val="center"/>
            <w:hideMark/>
          </w:tcPr>
          <w:p w:rsidR="006F1A4C" w:rsidRDefault="00330EEB">
            <w:pPr>
              <w:pStyle w:val="P68B1DB1-Normal5"/>
              <w:spacing w:after="0" w:line="240" w:lineRule="auto"/>
              <w:jc w:val="right"/>
            </w:pPr>
            <w:r>
              <w:t>431 000</w:t>
            </w:r>
          </w:p>
        </w:tc>
      </w:tr>
    </w:tbl>
    <w:p w:rsidR="006F1A4C" w:rsidRPr="00A64F12" w:rsidRDefault="00330EEB" w:rsidP="00A64F12">
      <w:pPr>
        <w:pStyle w:val="P68B1DB1-Normal5"/>
        <w:tabs>
          <w:tab w:val="left" w:pos="2161"/>
          <w:tab w:val="left" w:leader="dot" w:pos="9072"/>
        </w:tabs>
        <w:spacing w:before="120" w:after="120" w:line="276" w:lineRule="auto"/>
        <w:ind w:left="567" w:firstLine="567"/>
        <w:jc w:val="both"/>
        <w:rPr>
          <w:b/>
          <w:i/>
        </w:rPr>
      </w:pPr>
      <w:r w:rsidRPr="00A64F12">
        <w:rPr>
          <w:b/>
          <w:i/>
        </w:rPr>
        <w:t xml:space="preserve">08.12.2023 НСИ </w:t>
      </w:r>
    </w:p>
    <w:p w:rsidR="006F1A4C" w:rsidRDefault="00330EEB">
      <w:pPr>
        <w:pStyle w:val="P68B1DB1-Normal5"/>
        <w:tabs>
          <w:tab w:val="left" w:pos="2161"/>
          <w:tab w:val="left" w:leader="dot" w:pos="9072"/>
        </w:tabs>
        <w:spacing w:before="120" w:after="120" w:line="276" w:lineRule="auto"/>
        <w:ind w:firstLine="567"/>
        <w:jc w:val="both"/>
      </w:pPr>
      <w:r>
        <w:t xml:space="preserve"> Налице е ясна необходимост бъдещите мерки да бъдат насочени към </w:t>
      </w:r>
      <w:r w:rsidR="00A64F12">
        <w:rPr>
          <w:lang w:val="bg-BG"/>
        </w:rPr>
        <w:t>съответните</w:t>
      </w:r>
      <w:r>
        <w:t xml:space="preserve"> икономически и социални проблеми на регионите, в контекста на общите предизвикателства за структурното развитие, свързани с тяхната конкурентоспособност и способността им да предлагат привлекателна и устойчива среда за предприятията и местните жители </w:t>
      </w:r>
      <w:r w:rsidR="00A64F12">
        <w:rPr>
          <w:lang w:val="bg-BG"/>
        </w:rPr>
        <w:t>-</w:t>
      </w:r>
      <w:r>
        <w:t xml:space="preserve"> техническа и бизнес инфраструктура, функциониращи институции, опростяване на бизнес средата, технологична готовност, човешки капитал, развитие на научноизследователските дейности и тяхната връзка с бизнеса, опростяване на бизнес средата, извличане на ползи от геостратегическото местоположение на всеки регион.</w:t>
      </w:r>
      <w:r w:rsidRPr="00A64F12">
        <w:rPr>
          <w:vertAlign w:val="superscript"/>
        </w:rPr>
        <w:footnoteReference w:id="4"/>
      </w:r>
      <w:r>
        <w:t xml:space="preserve"> </w:t>
      </w:r>
    </w:p>
    <w:p w:rsidR="00E1329E" w:rsidRDefault="00330EEB">
      <w:pPr>
        <w:pStyle w:val="P68B1DB1-Normal5"/>
        <w:tabs>
          <w:tab w:val="left" w:pos="2161"/>
          <w:tab w:val="left" w:leader="dot" w:pos="9072"/>
        </w:tabs>
        <w:spacing w:before="120" w:after="120" w:line="276" w:lineRule="auto"/>
        <w:ind w:firstLine="567"/>
        <w:jc w:val="both"/>
      </w:pPr>
      <w:r>
        <w:t>Ключови за дигитализацията на българската икономика и обществени услуги ще бъдат инвестициите за разгръщане на 5G мобилни мрежи в страната. Визията за 5G е нещо повече от развитие на мобилните широколентови услуги. Тези технологии ще бъдат ключов фактор, допринасящ за развитието на бъдещия цифров свят като повсеместна</w:t>
      </w:r>
      <w:r w:rsidR="00A64F12">
        <w:rPr>
          <w:lang w:val="bg-BG"/>
        </w:rPr>
        <w:t>та</w:t>
      </w:r>
      <w:r>
        <w:t xml:space="preserve"> </w:t>
      </w:r>
      <w:proofErr w:type="spellStart"/>
      <w:r>
        <w:t>свръхвисокоскоростна</w:t>
      </w:r>
      <w:proofErr w:type="spellEnd"/>
      <w:r>
        <w:t xml:space="preserve"> широколентова инфраструктура от следващо поколение. 5G ще подкрепя процесите на трансформация във всички икономически сектори </w:t>
      </w:r>
      <w:r w:rsidR="00F37D59">
        <w:rPr>
          <w:lang w:val="bg-BG"/>
        </w:rPr>
        <w:t xml:space="preserve">- </w:t>
      </w:r>
      <w:r w:rsidR="00A64F12">
        <w:rPr>
          <w:lang w:val="bg-BG"/>
        </w:rPr>
        <w:t>публичен</w:t>
      </w:r>
      <w:r>
        <w:t xml:space="preserve"> сектор, образование, интегрирано предоставяне на медийно съдържание, здравеопазване, научни изследвания, енергетика, комунални услуги, производство, транспорт, автомобилостроене, аудио-визуални технологии, виртуална реалност (VR), онлайн игри и т.н.) и ще предоставя достъпни, гъвкави, интерактивни, надеждни и силно персонализирани услуги, които следва да подобрят живота на всеки гражданин. 5G за градовете ще предостави на общините набор от решения за обществени предизвикателства, като например разработване на устойчиво енергийно управление, оформяне на устойчива мобилност с цел облекчаване на тежестта върху транспортната инфраструктура, смекчаване на последиците от демографските промени или поддържане на сходни условия на живот в селските райони. По-специално това означава, че с 5G градовете и общините ще могат да предоставят </w:t>
      </w:r>
      <w:r w:rsidR="00871653">
        <w:rPr>
          <w:lang w:val="bg-BG"/>
        </w:rPr>
        <w:t xml:space="preserve">административни  и обществени </w:t>
      </w:r>
      <w:r>
        <w:t>услуги</w:t>
      </w:r>
      <w:r w:rsidR="00E1329E">
        <w:rPr>
          <w:lang w:val="bg-BG"/>
        </w:rPr>
        <w:t xml:space="preserve">, </w:t>
      </w:r>
      <w:r>
        <w:t xml:space="preserve"> ефикасно и ефективно. Независимо дали за управлението на паркирането, обществения транспорт, управлението на трафика, здравеопазването, управлението на децентрализираното </w:t>
      </w:r>
      <w:r w:rsidR="00E1329E">
        <w:rPr>
          <w:lang w:val="bg-BG"/>
        </w:rPr>
        <w:t>отдаване</w:t>
      </w:r>
      <w:r>
        <w:t xml:space="preserve"> на електроенергия или управлението на битови отпадъци, 5G може да осигури решение на много от настоящите предизвикателства. Важно е да се отбележи, че възможностите и предизвикателствата, свързани с използването на тази технология, трябва да се оценяват въз основа на целите за интегрирано и устойчиво градско развитие. </w:t>
      </w:r>
    </w:p>
    <w:p w:rsidR="00E1329E" w:rsidRPr="00E1329E" w:rsidRDefault="00330EEB">
      <w:pPr>
        <w:pStyle w:val="P68B1DB1-Normal5"/>
        <w:tabs>
          <w:tab w:val="left" w:pos="2161"/>
          <w:tab w:val="left" w:leader="dot" w:pos="9072"/>
        </w:tabs>
        <w:spacing w:before="120" w:after="120" w:line="276" w:lineRule="auto"/>
        <w:ind w:firstLine="567"/>
        <w:jc w:val="both"/>
        <w:rPr>
          <w:b/>
        </w:rPr>
      </w:pPr>
      <w:r w:rsidRPr="00E1329E">
        <w:rPr>
          <w:b/>
        </w:rPr>
        <w:t xml:space="preserve">Подобряване на свързаността в селските райони. </w:t>
      </w:r>
    </w:p>
    <w:p w:rsidR="006F1A4C" w:rsidRDefault="00330EEB">
      <w:pPr>
        <w:pStyle w:val="P68B1DB1-Normal5"/>
        <w:tabs>
          <w:tab w:val="left" w:pos="2161"/>
          <w:tab w:val="left" w:leader="dot" w:pos="9072"/>
        </w:tabs>
        <w:spacing w:before="120" w:after="120" w:line="276" w:lineRule="auto"/>
        <w:ind w:firstLine="567"/>
        <w:jc w:val="both"/>
      </w:pPr>
      <w:r>
        <w:t xml:space="preserve">В повечето селски и отдалечени райони свързаността с интернет може да играе значителна роля за предотвратяване на цифровото разделение, изолацията и обезлюдяването чрез намаляване на разходите за доставка на стоки и услуги и частично компенсиране на отдалечеността. Предприятията могат да намалят разходите чрез видеоконферентна връзка, достъп до онлайн администрация, електронна търговия или съхранение на данни в облака. Развитието на селските райони и съвременното селско стопанство разчитат все повече на онлайн приложения в подкрепа на туризма, сензорния мониторинг на културите и използването на дронове в търговията и селското стопанство. Всички домакинства, селски или градски, следва да имат достъп до минимално ниво на фиксирана или безжична връзка. За да бъде счетена за адекватна през 2025 г., свързаността ще трябва да бъде с много по-голям капацитет, отколкото </w:t>
      </w:r>
      <w:r w:rsidR="00E1329E">
        <w:rPr>
          <w:lang w:val="bg-BG"/>
        </w:rPr>
        <w:t>е в настоящия момент</w:t>
      </w:r>
      <w:r>
        <w:t xml:space="preserve">. Въз основа на целите на Програмата в областта на цифровите технологии за стратегия „Европа 2020“ до 2025 г. всички домакинства следва да разполагат със 100 </w:t>
      </w:r>
      <w:proofErr w:type="spellStart"/>
      <w:r>
        <w:t>Mbps</w:t>
      </w:r>
      <w:proofErr w:type="spellEnd"/>
      <w:r>
        <w:t xml:space="preserve"> свързаност, </w:t>
      </w:r>
      <w:r w:rsidR="00E1329E">
        <w:rPr>
          <w:lang w:val="bg-BG"/>
        </w:rPr>
        <w:t>осигурявайки много голям</w:t>
      </w:r>
      <w:r>
        <w:t xml:space="preserve"> капацитет за </w:t>
      </w:r>
      <w:r w:rsidR="00E1329E">
        <w:rPr>
          <w:lang w:val="bg-BG"/>
        </w:rPr>
        <w:t xml:space="preserve">пренос на </w:t>
      </w:r>
      <w:r>
        <w:t xml:space="preserve">данни. Налице е все по-голямо разбиране, че широколентовият достъп до интернет е толкова важен, </w:t>
      </w:r>
      <w:r w:rsidR="00E22376">
        <w:rPr>
          <w:lang w:val="bg-BG"/>
        </w:rPr>
        <w:t>колкото</w:t>
      </w:r>
      <w:r w:rsidR="00E1329E">
        <w:t xml:space="preserve"> </w:t>
      </w:r>
      <w:r w:rsidR="00E1329E">
        <w:rPr>
          <w:lang w:val="bg-BG"/>
        </w:rPr>
        <w:t>останалите</w:t>
      </w:r>
      <w:r w:rsidR="00E1329E">
        <w:t xml:space="preserve"> комунални услуги като пътища, вода, електричество и газ</w:t>
      </w:r>
      <w:r>
        <w:t xml:space="preserve">. Положителното социално-икономическо въздействие от предоставянето на достъп до </w:t>
      </w:r>
      <w:r w:rsidR="0030356B">
        <w:rPr>
          <w:lang w:val="bg-BG"/>
        </w:rPr>
        <w:t>ММГК</w:t>
      </w:r>
      <w:r>
        <w:t xml:space="preserve"> също има социални последици. Осигуряването на равен достъп до широколентова инфраструктура води до намаляване на икономическото и социалното изключване на отделни лица и цели общности и ги прави активни участници в обществото. Очакват се значителни социални последици от подобряването на достъпа до основни обществени услуги чрез развитието на електронното управление, електронното образование, електронното здравеопазване и др. Предоставянето на високоскоростен интернет оказва значително въздействие върху повишаването на сигурността на гражданите и обществото и намаляването на </w:t>
      </w:r>
      <w:r w:rsidR="004F79AC">
        <w:rPr>
          <w:lang w:val="bg-BG"/>
        </w:rPr>
        <w:t>престъпността</w:t>
      </w:r>
      <w:r>
        <w:t>. В резултат на това качеството на живот на гражданите</w:t>
      </w:r>
      <w:r w:rsidR="004F79AC">
        <w:rPr>
          <w:lang w:val="bg-BG"/>
        </w:rPr>
        <w:t xml:space="preserve"> силно се подобрява</w:t>
      </w:r>
      <w:r>
        <w:t>.</w:t>
      </w:r>
      <w:r w:rsidRPr="004F79AC">
        <w:rPr>
          <w:vertAlign w:val="superscript"/>
        </w:rPr>
        <w:footnoteReference w:id="5"/>
      </w:r>
      <w:r>
        <w:t xml:space="preserve"> </w:t>
      </w:r>
    </w:p>
    <w:p w:rsidR="006F1A4C" w:rsidRDefault="00330EEB">
      <w:pPr>
        <w:pStyle w:val="P68B1DB1-Normal5"/>
        <w:tabs>
          <w:tab w:val="left" w:pos="2161"/>
          <w:tab w:val="left" w:leader="dot" w:pos="9072"/>
        </w:tabs>
        <w:spacing w:before="120" w:after="120" w:line="276" w:lineRule="auto"/>
        <w:ind w:firstLine="567"/>
        <w:jc w:val="both"/>
      </w:pPr>
      <w:r>
        <w:t>В районите, в които достъпът до далекосъобщения е ограничен, местните предприятия и населението са в неравностойно положение. В силно урбанизираните райони, където потребителите са концентрирани, пазарът ще изгради инфраструктурата, както и националната комуникационна мрежа. В слабо населените или по-слабо развитите райони обаче частният сектор няма икономически стимул за изграждане на широколентова инфраструктура и гарантиране на развитието на онлайн услуги.</w:t>
      </w:r>
    </w:p>
    <w:p w:rsidR="006F1A4C" w:rsidRDefault="00330EEB">
      <w:pPr>
        <w:pStyle w:val="P68B1DB1-Normal5"/>
        <w:tabs>
          <w:tab w:val="left" w:pos="2161"/>
          <w:tab w:val="left" w:leader="dot" w:pos="9072"/>
        </w:tabs>
        <w:spacing w:before="120" w:after="120" w:line="276" w:lineRule="auto"/>
        <w:ind w:firstLine="567"/>
        <w:jc w:val="both"/>
      </w:pPr>
      <w:r>
        <w:rPr>
          <w:b/>
        </w:rPr>
        <w:t>Северозападен район</w:t>
      </w:r>
      <w:r>
        <w:t xml:space="preserve"> включва областите Плевен, Ловеч, Видин, Монтана и Враца. Площта му е 19 070 km². Столицата </w:t>
      </w:r>
      <w:r w:rsidR="004F79AC">
        <w:rPr>
          <w:lang w:val="bg-BG"/>
        </w:rPr>
        <w:t xml:space="preserve">на района </w:t>
      </w:r>
      <w:r>
        <w:t xml:space="preserve">е град Плевен. Регионът има най-ниско </w:t>
      </w:r>
      <w:r w:rsidR="0030356B">
        <w:rPr>
          <w:lang w:val="bg-BG"/>
        </w:rPr>
        <w:t>развитата</w:t>
      </w:r>
      <w:r>
        <w:t xml:space="preserve"> икономика в Бълг</w:t>
      </w:r>
      <w:r w:rsidR="004F79AC">
        <w:t xml:space="preserve">ария и Европейския съюз. </w:t>
      </w:r>
      <w:r>
        <w:t>Регионът заема северозападната част на страната и има благоприятно географско местоположение с международни транспортни коридори, включително река Дунав. Дунавският регион има добри трансгранични възможности.</w:t>
      </w:r>
    </w:p>
    <w:p w:rsidR="006F1A4C" w:rsidRDefault="00330EEB">
      <w:pPr>
        <w:pStyle w:val="P68B1DB1-Normal5"/>
        <w:tabs>
          <w:tab w:val="left" w:pos="2161"/>
          <w:tab w:val="left" w:leader="dot" w:pos="9072"/>
        </w:tabs>
        <w:spacing w:before="120" w:after="120" w:line="276" w:lineRule="auto"/>
        <w:ind w:firstLine="567"/>
        <w:jc w:val="both"/>
      </w:pPr>
      <w:r>
        <w:t>Изключително неблагоприятната демографска ситуация в региона определя наличието на редица проблеми, като обезлюдяването на граничните и планинските райони, влошаването на възрастовата структура на населението и качеството на работната сила, чийто брой непрекъснато намалява. Относителният дял на градското население е по-нисък от средния за страната.</w:t>
      </w:r>
    </w:p>
    <w:p w:rsidR="006F1A4C" w:rsidRDefault="00330EEB">
      <w:pPr>
        <w:pStyle w:val="P68B1DB1-Normal5"/>
        <w:tabs>
          <w:tab w:val="left" w:pos="2161"/>
          <w:tab w:val="left" w:leader="dot" w:pos="9072"/>
        </w:tabs>
        <w:spacing w:before="120" w:after="120" w:line="276" w:lineRule="auto"/>
        <w:ind w:firstLine="567"/>
        <w:jc w:val="both"/>
      </w:pPr>
      <w:r>
        <w:t xml:space="preserve">Северозападният регион е регионът с най-значими отрицателни демографски процеси, намаляването на населението има устойчива тенденция </w:t>
      </w:r>
      <w:r w:rsidR="004F79AC">
        <w:rPr>
          <w:lang w:val="bg-BG"/>
        </w:rPr>
        <w:t>-</w:t>
      </w:r>
      <w:r>
        <w:t xml:space="preserve"> в периода 2008</w:t>
      </w:r>
      <w:r w:rsidR="00722020">
        <w:rPr>
          <w:lang w:val="bg-BG"/>
        </w:rPr>
        <w:t>-</w:t>
      </w:r>
      <w:r>
        <w:t>2020 г. намалението е 26,4 %. Населението на региона към 2023 г. е 2</w:t>
      </w:r>
      <w:r w:rsidR="00722020">
        <w:rPr>
          <w:lang w:val="bg-BG"/>
        </w:rPr>
        <w:t> </w:t>
      </w:r>
      <w:r>
        <w:t>017</w:t>
      </w:r>
      <w:r w:rsidR="00722020">
        <w:rPr>
          <w:lang w:val="bg-BG"/>
        </w:rPr>
        <w:t xml:space="preserve"> </w:t>
      </w:r>
      <w:r>
        <w:t>861, като 1</w:t>
      </w:r>
      <w:r w:rsidR="00722020">
        <w:rPr>
          <w:lang w:val="bg-BG"/>
        </w:rPr>
        <w:t> </w:t>
      </w:r>
      <w:r>
        <w:t>691</w:t>
      </w:r>
      <w:r w:rsidR="00722020">
        <w:rPr>
          <w:lang w:val="bg-BG"/>
        </w:rPr>
        <w:t xml:space="preserve"> </w:t>
      </w:r>
      <w:r>
        <w:t>076 живеят в градски райони и 326</w:t>
      </w:r>
      <w:r w:rsidR="00722020">
        <w:rPr>
          <w:lang w:val="bg-BG"/>
        </w:rPr>
        <w:t xml:space="preserve"> </w:t>
      </w:r>
      <w:r>
        <w:t>785 в селските райони. Според прогнозите на НСИ до 2025 г. населението на Северозападния регион се очаква да бъде 634</w:t>
      </w:r>
      <w:r w:rsidR="00722020">
        <w:rPr>
          <w:lang w:val="bg-BG"/>
        </w:rPr>
        <w:t xml:space="preserve"> </w:t>
      </w:r>
      <w:r>
        <w:t xml:space="preserve">909 души, а през 2030 г. </w:t>
      </w:r>
      <w:r w:rsidR="003E7EA7">
        <w:t>-</w:t>
      </w:r>
      <w:r>
        <w:t xml:space="preserve"> да намалее до 583</w:t>
      </w:r>
      <w:r w:rsidR="00722020">
        <w:rPr>
          <w:lang w:val="bg-BG"/>
        </w:rPr>
        <w:t xml:space="preserve"> </w:t>
      </w:r>
      <w:r>
        <w:t>658 души.</w:t>
      </w:r>
    </w:p>
    <w:p w:rsidR="006F1A4C" w:rsidRDefault="00330EEB">
      <w:pPr>
        <w:pStyle w:val="P68B1DB1-Normal5"/>
        <w:tabs>
          <w:tab w:val="left" w:pos="2161"/>
          <w:tab w:val="left" w:leader="dot" w:pos="9072"/>
        </w:tabs>
        <w:spacing w:before="120" w:after="120" w:line="276" w:lineRule="auto"/>
        <w:ind w:firstLine="567"/>
        <w:jc w:val="both"/>
      </w:pPr>
      <w:r>
        <w:t>Плевенска област е с площ от 4 653,3 км</w:t>
      </w:r>
      <w:r w:rsidRPr="00EB6E8D">
        <w:rPr>
          <w:vertAlign w:val="superscript"/>
        </w:rPr>
        <w:t>2</w:t>
      </w:r>
      <w:r>
        <w:t xml:space="preserve"> и има население от 228</w:t>
      </w:r>
      <w:r w:rsidR="00EB6E8D">
        <w:rPr>
          <w:lang w:val="bg-BG"/>
        </w:rPr>
        <w:t xml:space="preserve"> </w:t>
      </w:r>
      <w:r>
        <w:t>300 души. В област Плевен има 11 по-големи общини и 123 населени места. През 2022 г. БВП на глава от населението в област Плевен продължи значителния си растеж. Заплатите и пенсиите нарастват сравнително бързо. Икономическата активност в облас</w:t>
      </w:r>
      <w:r w:rsidR="00EB6E8D">
        <w:t xml:space="preserve">тта е изключително слаба, но все пак се наблюдава ръст на </w:t>
      </w:r>
      <w:r w:rsidR="00EB6E8D">
        <w:rPr>
          <w:lang w:val="bg-BG"/>
        </w:rPr>
        <w:t>инвестициите</w:t>
      </w:r>
      <w:r>
        <w:t xml:space="preserve">. </w:t>
      </w:r>
    </w:p>
    <w:p w:rsidR="006F1A4C" w:rsidRDefault="00330EEB">
      <w:pPr>
        <w:pStyle w:val="P68B1DB1-Normal5"/>
        <w:tabs>
          <w:tab w:val="left" w:pos="2161"/>
          <w:tab w:val="left" w:leader="dot" w:pos="9072"/>
        </w:tabs>
        <w:spacing w:before="120" w:after="120" w:line="276" w:lineRule="auto"/>
        <w:ind w:firstLine="567"/>
        <w:jc w:val="both"/>
      </w:pPr>
      <w:r>
        <w:t xml:space="preserve">За втора поредна година през 2021 г. </w:t>
      </w:r>
      <w:r w:rsidR="00BE391A">
        <w:t>естественият прираст</w:t>
      </w:r>
      <w:r>
        <w:t xml:space="preserve"> на населението намаля значително, достигайки </w:t>
      </w:r>
      <w:r w:rsidR="00EB6E8D">
        <w:rPr>
          <w:lang w:val="bg-BG"/>
        </w:rPr>
        <w:t>-</w:t>
      </w:r>
      <w:r>
        <w:t xml:space="preserve"> 18.9, спрямо средната стойност за страната от </w:t>
      </w:r>
      <w:r w:rsidR="00EB6E8D">
        <w:rPr>
          <w:lang w:val="bg-BG"/>
        </w:rPr>
        <w:t>-</w:t>
      </w:r>
      <w:r>
        <w:t>13,2. Област Плевен също така не успява да привлече нови жители, а нетният процент на миграция е отрицателен (</w:t>
      </w:r>
      <w:r w:rsidR="00EB6E8D">
        <w:rPr>
          <w:lang w:val="bg-BG"/>
        </w:rPr>
        <w:t>-</w:t>
      </w:r>
      <w:r>
        <w:t xml:space="preserve">3.4). Тези процеси са основна предпоставка за високото равнище на застаряване на населението в областта. </w:t>
      </w:r>
    </w:p>
    <w:p w:rsidR="006F1A4C" w:rsidRDefault="00330EEB">
      <w:pPr>
        <w:pStyle w:val="P68B1DB1-Normal5"/>
        <w:tabs>
          <w:tab w:val="left" w:pos="2161"/>
          <w:tab w:val="left" w:leader="dot" w:pos="9072"/>
        </w:tabs>
        <w:spacing w:before="120" w:after="120" w:line="276" w:lineRule="auto"/>
        <w:ind w:firstLine="567"/>
        <w:jc w:val="both"/>
      </w:pPr>
      <w:r>
        <w:t xml:space="preserve">Делът на домакинствата с достъп до интернет се увеличава, но остава сравнително нисък </w:t>
      </w:r>
      <w:r w:rsidR="00CC53DD">
        <w:rPr>
          <w:lang w:val="bg-BG"/>
        </w:rPr>
        <w:t>-</w:t>
      </w:r>
      <w:r>
        <w:t xml:space="preserve"> 76,3 %, при средно 83,5 % за страната. Усвояването на европейски средства в област Плевен остава близо до средното за страната.</w:t>
      </w:r>
    </w:p>
    <w:p w:rsidR="006F1A4C" w:rsidRDefault="00330EEB">
      <w:pPr>
        <w:pStyle w:val="P68B1DB1-Normal5"/>
        <w:tabs>
          <w:tab w:val="left" w:pos="2161"/>
          <w:tab w:val="left" w:leader="dot" w:pos="9072"/>
        </w:tabs>
        <w:spacing w:before="120" w:after="120" w:line="276" w:lineRule="auto"/>
        <w:ind w:firstLine="567"/>
        <w:jc w:val="both"/>
      </w:pPr>
      <w:r>
        <w:t>Към 31 декември 2022 г. населението на област Ловеч е 113</w:t>
      </w:r>
      <w:r w:rsidR="00CC53DD">
        <w:rPr>
          <w:lang w:val="bg-BG"/>
        </w:rPr>
        <w:t xml:space="preserve"> </w:t>
      </w:r>
      <w:r>
        <w:t>356 души, което представлява 1,8 % от населението на България и заема 19-то място в страната. В сравнение с 2021 г. населението на областта намалява със 1</w:t>
      </w:r>
      <w:r w:rsidR="00CC53DD">
        <w:rPr>
          <w:lang w:val="bg-BG"/>
        </w:rPr>
        <w:t xml:space="preserve"> </w:t>
      </w:r>
      <w:r>
        <w:t xml:space="preserve">790 души или с 1,6 %. Делът на населението на областта, живеещо в градските райони, е сравнително нисък </w:t>
      </w:r>
      <w:r w:rsidR="00CC53DD">
        <w:rPr>
          <w:lang w:val="bg-BG"/>
        </w:rPr>
        <w:t xml:space="preserve">- </w:t>
      </w:r>
      <w:r>
        <w:t xml:space="preserve">61,9 %, в сравнение със 73,6 % в страната, а гъстотата на населението в тези райони е значително по-ниска </w:t>
      </w:r>
      <w:r w:rsidR="00BE391A">
        <w:rPr>
          <w:lang w:val="bg-BG"/>
        </w:rPr>
        <w:t xml:space="preserve">- </w:t>
      </w:r>
      <w:r>
        <w:t>774 души/кв.</w:t>
      </w:r>
      <w:r w:rsidR="00BE391A">
        <w:rPr>
          <w:lang w:val="bg-BG"/>
        </w:rPr>
        <w:t xml:space="preserve"> </w:t>
      </w:r>
      <w:r>
        <w:t xml:space="preserve">км, а за страната е 1404 души/кв.км. в област Ловеч има осем по-големи общини и 110 населени места. Делът на градското население е 61,9 %. Територията на </w:t>
      </w:r>
      <w:r w:rsidR="001D635C">
        <w:rPr>
          <w:lang w:val="bg-BG"/>
        </w:rPr>
        <w:t>района</w:t>
      </w:r>
      <w:r>
        <w:t xml:space="preserve"> е 4</w:t>
      </w:r>
      <w:r w:rsidR="00BE391A">
        <w:rPr>
          <w:lang w:val="bg-BG"/>
        </w:rPr>
        <w:t xml:space="preserve"> </w:t>
      </w:r>
      <w:r>
        <w:t>129 кв.</w:t>
      </w:r>
      <w:r w:rsidR="00BE391A">
        <w:rPr>
          <w:lang w:val="bg-BG"/>
        </w:rPr>
        <w:t xml:space="preserve"> </w:t>
      </w:r>
      <w:r>
        <w:t xml:space="preserve">км. БВП на глава от населението, пенсиите и заплатите в област Ловеч нарастват, но все още остават относително ниски. Поради силно отрицателния естествен прираст на населението, Ловеч е сред областите с висок процент на застаряване на населението. Делът на населението в трудоспособна възраст продължава да намалява, достигайки 54,8 % в сравнение с 58,5 % за страната. Усвояването на средствата от ЕС е сравнително високо. Дял на домакинствата с широколентов достъп до интернет за 2022 г. </w:t>
      </w:r>
      <w:r w:rsidR="00BE391A">
        <w:rPr>
          <w:lang w:val="bg-BG"/>
        </w:rPr>
        <w:t>-</w:t>
      </w:r>
      <w:r>
        <w:t xml:space="preserve"> 87,5 % в сравнение с национално равнище от 87,3 %. </w:t>
      </w:r>
    </w:p>
    <w:p w:rsidR="006F1A4C" w:rsidRDefault="00330EEB">
      <w:pPr>
        <w:pStyle w:val="P68B1DB1-Normal5"/>
        <w:tabs>
          <w:tab w:val="left" w:pos="2161"/>
          <w:tab w:val="left" w:leader="dot" w:pos="9072"/>
        </w:tabs>
        <w:spacing w:before="120" w:after="120" w:line="276" w:lineRule="auto"/>
        <w:ind w:firstLine="567"/>
        <w:jc w:val="both"/>
      </w:pPr>
      <w:r>
        <w:t>Област Видин е сред областите с най-лоши показатели за доходи и качество на живот. Населението на област Видин към 7 септември 2021 г. е 75</w:t>
      </w:r>
      <w:r w:rsidR="00BE391A">
        <w:rPr>
          <w:lang w:val="bg-BG"/>
        </w:rPr>
        <w:t xml:space="preserve"> </w:t>
      </w:r>
      <w:r>
        <w:t>408, което представлява 1,2 % от населението на страната (6</w:t>
      </w:r>
      <w:r w:rsidR="00BE391A">
        <w:rPr>
          <w:lang w:val="bg-BG"/>
        </w:rPr>
        <w:t> </w:t>
      </w:r>
      <w:r>
        <w:t>519</w:t>
      </w:r>
      <w:r w:rsidR="00BE391A">
        <w:rPr>
          <w:lang w:val="bg-BG"/>
        </w:rPr>
        <w:t> </w:t>
      </w:r>
      <w:r>
        <w:t>789</w:t>
      </w:r>
      <w:r w:rsidR="00BE391A">
        <w:rPr>
          <w:lang w:val="bg-BG"/>
        </w:rPr>
        <w:t xml:space="preserve"> д.</w:t>
      </w:r>
      <w:r>
        <w:t xml:space="preserve">).  Територията на </w:t>
      </w:r>
      <w:r w:rsidR="001D635C">
        <w:rPr>
          <w:lang w:val="bg-BG"/>
        </w:rPr>
        <w:t>района</w:t>
      </w:r>
      <w:r>
        <w:t xml:space="preserve"> е 3,033 кв.</w:t>
      </w:r>
      <w:r w:rsidR="00BE391A">
        <w:rPr>
          <w:lang w:val="bg-BG"/>
        </w:rPr>
        <w:t xml:space="preserve"> </w:t>
      </w:r>
      <w:r>
        <w:t xml:space="preserve">км. Във Видин има 11 по-големи общини и 141 населени места. Образователната структура на работната сила се подобрява, но безработицата остава изключително висока. Инвестициите и стопанската дейност са сравнително слаби и инфраструктурата не е достатъчно развита. </w:t>
      </w:r>
    </w:p>
    <w:p w:rsidR="006F1A4C" w:rsidRDefault="00330EEB">
      <w:pPr>
        <w:pStyle w:val="P68B1DB1-Normal5"/>
        <w:tabs>
          <w:tab w:val="left" w:pos="2161"/>
          <w:tab w:val="left" w:leader="dot" w:pos="9072"/>
        </w:tabs>
        <w:spacing w:before="120" w:after="120" w:line="276" w:lineRule="auto"/>
        <w:ind w:firstLine="567"/>
        <w:jc w:val="both"/>
      </w:pPr>
      <w:r>
        <w:t>Видин е областта с най-неблагоприятни</w:t>
      </w:r>
      <w:r w:rsidR="00BE391A">
        <w:rPr>
          <w:lang w:val="bg-BG"/>
        </w:rPr>
        <w:t>те</w:t>
      </w:r>
      <w:r>
        <w:t xml:space="preserve"> демографски условия в страната. </w:t>
      </w:r>
      <w:r w:rsidR="00BE391A">
        <w:t>Естественият прираст</w:t>
      </w:r>
      <w:r>
        <w:t xml:space="preserve"> на населението спада бързо и достига най-ниската си стойност от</w:t>
      </w:r>
      <w:r w:rsidR="001D635C">
        <w:rPr>
          <w:lang w:val="bg-BG"/>
        </w:rPr>
        <w:t xml:space="preserve"> </w:t>
      </w:r>
      <w:r>
        <w:t xml:space="preserve">25.7, което е почти половината от средната стойност за страната от </w:t>
      </w:r>
      <w:r w:rsidR="001D635C">
        <w:rPr>
          <w:lang w:val="bg-BG"/>
        </w:rPr>
        <w:t>- 1</w:t>
      </w:r>
      <w:r>
        <w:t>3.25. В същото време областта не успява да привлече население и нетната имиграция отново има отрицателна стойност (</w:t>
      </w:r>
      <w:r w:rsidR="001D635C">
        <w:rPr>
          <w:lang w:val="bg-BG"/>
        </w:rPr>
        <w:t>-</w:t>
      </w:r>
      <w:r>
        <w:t xml:space="preserve">4,4), като 2020 г. е единствената година, през която </w:t>
      </w:r>
      <w:r w:rsidR="00BE391A">
        <w:rPr>
          <w:lang w:val="bg-BG"/>
        </w:rPr>
        <w:t xml:space="preserve">тя </w:t>
      </w:r>
      <w:r>
        <w:t>има положителна</w:t>
      </w:r>
      <w:r w:rsidR="00BE391A">
        <w:rPr>
          <w:lang w:val="bg-BG"/>
        </w:rPr>
        <w:t xml:space="preserve"> стойност</w:t>
      </w:r>
      <w:r>
        <w:t>. Едно от основните предизвикателства, пред които е изправен местният пазар на труда, е застаряването на населението. Достъпът на домакинствата до интернет остава нисък, въпреки че се е увеличил до 74,8 % в сравнение с 83,5 % в цялата страна.</w:t>
      </w:r>
    </w:p>
    <w:p w:rsidR="006F1A4C" w:rsidRDefault="00330EEB">
      <w:pPr>
        <w:pStyle w:val="P68B1DB1-Normal5"/>
        <w:tabs>
          <w:tab w:val="left" w:pos="2161"/>
          <w:tab w:val="left" w:leader="dot" w:pos="9072"/>
        </w:tabs>
        <w:spacing w:before="120" w:after="120" w:line="276" w:lineRule="auto"/>
        <w:ind w:firstLine="567"/>
        <w:jc w:val="both"/>
      </w:pPr>
      <w:r>
        <w:t>В резултат на демографските и емиграционни процеси, в края на 2023 г., според настоящата демографска статистика, населението на област Враца е 147</w:t>
      </w:r>
      <w:r w:rsidR="00BE391A">
        <w:rPr>
          <w:lang w:val="bg-BG"/>
        </w:rPr>
        <w:t xml:space="preserve"> </w:t>
      </w:r>
      <w:r>
        <w:t>619 души, което представлява 2,3 % от населението на страната и 22,2 % от населението на Северозападния регион. В сравнение с 2022 г. т</w:t>
      </w:r>
      <w:r w:rsidR="00BE391A">
        <w:rPr>
          <w:lang w:val="bg-BG"/>
        </w:rPr>
        <w:t>о</w:t>
      </w:r>
      <w:r>
        <w:t xml:space="preserve"> намалява с 1255 души или с 0,8 %. В област Враца има 10 по-големи общини и 123 населени места. Цялата област се представя слабо по отношение на показателите за инфраструктурно развитие. Коефициентите на възрастова зависимост все още са значително по-малко благоприятни от средните за страната. </w:t>
      </w:r>
    </w:p>
    <w:p w:rsidR="006F1A4C" w:rsidRDefault="00330EEB">
      <w:pPr>
        <w:pStyle w:val="P68B1DB1-Normal5"/>
        <w:tabs>
          <w:tab w:val="left" w:pos="2161"/>
          <w:tab w:val="left" w:leader="dot" w:pos="9072"/>
        </w:tabs>
        <w:spacing w:before="120" w:after="120" w:line="276" w:lineRule="auto"/>
        <w:ind w:firstLine="567"/>
        <w:jc w:val="both"/>
      </w:pPr>
      <w:r>
        <w:t xml:space="preserve">БВП на глава от населението в област Враца продължава да расте. Средната брутна годишна заплата на служителите е третата най-висока в страната. През 2022 г. равнищата на заетост и безработица се повишиха едновременно. Враца е сред областите със силен индустриален профил и делът на работната сила със средно образование е сравнително висок. Относителен дял на домакинствата с достъп до интернет </w:t>
      </w:r>
      <w:r w:rsidR="00BE391A">
        <w:rPr>
          <w:lang w:val="bg-BG"/>
        </w:rPr>
        <w:t xml:space="preserve">- </w:t>
      </w:r>
      <w:r>
        <w:t xml:space="preserve">67,9 %. Достъпът до интернет на домакинствата в област Враца също изостава от средните стойности за страната. Враца е </w:t>
      </w:r>
      <w:r w:rsidR="00E37719">
        <w:rPr>
          <w:lang w:val="bg-BG"/>
        </w:rPr>
        <w:t>на челните места</w:t>
      </w:r>
      <w:r>
        <w:t xml:space="preserve"> по отношение на усвояването на финансиране от ЕС.</w:t>
      </w:r>
    </w:p>
    <w:p w:rsidR="006F1A4C" w:rsidRDefault="00330EEB">
      <w:pPr>
        <w:pStyle w:val="P68B1DB1-Normal5"/>
        <w:tabs>
          <w:tab w:val="left" w:pos="2161"/>
          <w:tab w:val="left" w:leader="dot" w:pos="9072"/>
        </w:tabs>
        <w:spacing w:before="120" w:after="120" w:line="276" w:lineRule="auto"/>
        <w:ind w:firstLine="567"/>
        <w:jc w:val="both"/>
      </w:pPr>
      <w:r>
        <w:t>Област Монтана е сред областите със сравнително ниски доходи и качество на живот. Той обхваща площ от 3 635,5 km² и има население от 119</w:t>
      </w:r>
      <w:r w:rsidR="0040171C">
        <w:rPr>
          <w:lang w:val="bg-BG"/>
        </w:rPr>
        <w:t xml:space="preserve"> </w:t>
      </w:r>
      <w:r>
        <w:t xml:space="preserve">950 души според данните от преброяването от 2021 г. В област Монтана има 11 по-големи общини и 130 населени места. Тенденциите на пазара на труда са неблагоприятни, но има забележимо подобрение в образователната структура на работната сила. Инвестиционната активност в областта е сравнително ниска. Продължаващата тенденция към застаряване на населението в цяла България остава особено забележима в област Монтана. Естественият прираст на населението отново отбеляза спад през 2021 г. </w:t>
      </w:r>
      <w:r w:rsidR="003D3FD2">
        <w:rPr>
          <w:lang w:val="bg-BG"/>
        </w:rPr>
        <w:t xml:space="preserve">- </w:t>
      </w:r>
      <w:r>
        <w:t xml:space="preserve">23.2 </w:t>
      </w:r>
      <w:r w:rsidR="00E37719" w:rsidRPr="00E37719">
        <w:t>‰</w:t>
      </w:r>
      <w:r>
        <w:t xml:space="preserve"> (срещу </w:t>
      </w:r>
      <w:r w:rsidR="003E7EA7">
        <w:t>-</w:t>
      </w:r>
      <w:r>
        <w:t xml:space="preserve"> 13.2</w:t>
      </w:r>
      <w:r w:rsidR="00E37719" w:rsidRPr="00E37719">
        <w:t>‰</w:t>
      </w:r>
      <w:r>
        <w:t xml:space="preserve"> за страната)</w:t>
      </w:r>
      <w:r w:rsidR="00E37719">
        <w:rPr>
          <w:lang w:val="en-US"/>
        </w:rPr>
        <w:t xml:space="preserve"> </w:t>
      </w:r>
      <w:r w:rsidR="00E37719">
        <w:rPr>
          <w:lang w:val="bg-BG"/>
        </w:rPr>
        <w:t>и</w:t>
      </w:r>
      <w:r>
        <w:t xml:space="preserve"> е </w:t>
      </w:r>
      <w:r w:rsidR="00E37719">
        <w:rPr>
          <w:lang w:val="bg-BG"/>
        </w:rPr>
        <w:t>вторият</w:t>
      </w:r>
      <w:r>
        <w:t xml:space="preserve"> най-</w:t>
      </w:r>
      <w:r w:rsidR="00E37719">
        <w:rPr>
          <w:lang w:val="bg-BG"/>
        </w:rPr>
        <w:t>слаб</w:t>
      </w:r>
      <w:r>
        <w:t xml:space="preserve"> в страната след това във Видинска област. Областта не успява да привлече хора, а нетната миграция също е отрицателна –</w:t>
      </w:r>
      <w:r w:rsidR="003D3FD2">
        <w:rPr>
          <w:lang w:val="bg-BG"/>
        </w:rPr>
        <w:t xml:space="preserve"> </w:t>
      </w:r>
      <w:r>
        <w:t xml:space="preserve">2.9. Относително нисък дял от населението на област Монтана живее в градски </w:t>
      </w:r>
      <w:r w:rsidR="00E37719">
        <w:rPr>
          <w:lang w:val="bg-BG"/>
        </w:rPr>
        <w:t>райони</w:t>
      </w:r>
      <w:r>
        <w:t xml:space="preserve"> </w:t>
      </w:r>
      <w:r w:rsidR="003E7EA7">
        <w:t>-</w:t>
      </w:r>
      <w:r>
        <w:t xml:space="preserve"> 64,0 %, при 73,1 % за страната. Гъстотата на населението в градските </w:t>
      </w:r>
      <w:r w:rsidR="00E37719">
        <w:rPr>
          <w:lang w:val="bg-BG"/>
        </w:rPr>
        <w:t>райони</w:t>
      </w:r>
      <w:r>
        <w:t xml:space="preserve"> е сравнително ниска.</w:t>
      </w:r>
    </w:p>
    <w:p w:rsidR="006F1A4C" w:rsidRDefault="00330EEB">
      <w:pPr>
        <w:pStyle w:val="P68B1DB1-Normal5"/>
        <w:tabs>
          <w:tab w:val="left" w:pos="2161"/>
          <w:tab w:val="left" w:leader="dot" w:pos="9072"/>
        </w:tabs>
        <w:spacing w:before="120" w:after="120" w:line="276" w:lineRule="auto"/>
        <w:ind w:firstLine="567"/>
        <w:jc w:val="both"/>
      </w:pPr>
      <w:r>
        <w:t xml:space="preserve">Интернет достъпът в областта се увеличава, но остава сравнително нисък </w:t>
      </w:r>
      <w:r w:rsidR="003E7EA7">
        <w:t>-</w:t>
      </w:r>
      <w:r>
        <w:t>70,2 % от домакинствата</w:t>
      </w:r>
      <w:r w:rsidR="00E37719">
        <w:rPr>
          <w:lang w:val="bg-BG"/>
        </w:rPr>
        <w:t xml:space="preserve"> имат достъп до интернет</w:t>
      </w:r>
      <w:r>
        <w:t xml:space="preserve">, в сравнение с 83,5 % в страната. </w:t>
      </w:r>
    </w:p>
    <w:p w:rsidR="006F1A4C" w:rsidRDefault="00330EEB">
      <w:pPr>
        <w:pStyle w:val="P68B1DB1-Normal5"/>
        <w:tabs>
          <w:tab w:val="left" w:pos="2161"/>
          <w:tab w:val="left" w:leader="dot" w:pos="9072"/>
        </w:tabs>
        <w:spacing w:before="120" w:after="120" w:line="276" w:lineRule="auto"/>
        <w:ind w:firstLine="567"/>
        <w:jc w:val="both"/>
      </w:pPr>
      <w:r>
        <w:rPr>
          <w:b/>
        </w:rPr>
        <w:t>Северен централен район</w:t>
      </w:r>
      <w:r>
        <w:t xml:space="preserve"> включва областите Велико Търново, Габрово, Разград, Русе, Силистра и има 36 общини, 50 града и 998 села. Площта на района е 14974 кв. км, което представлява 13,49 % от територията на страната. Населението на региона постоянно намалява. Това е резултат от активни миграционни процеси и отрицателен естествен </w:t>
      </w:r>
      <w:r w:rsidR="00E37719">
        <w:rPr>
          <w:lang w:val="bg-BG"/>
        </w:rPr>
        <w:t>прираст</w:t>
      </w:r>
      <w:r>
        <w:t xml:space="preserve">. Гъстотата на населението е под средната. Населението е неравномерно разпределено по цялата територия. Към 31.12.2022 г. населението на региона е 825009 души, което съответства на 10,64 % от общото население на страната. Средната гъстота на населението в Северен централен район е 45,84 p.m./km² и е по-ниска от средната за страната от 58.09 </w:t>
      </w:r>
      <w:r w:rsidR="005A3799">
        <w:t>‰</w:t>
      </w:r>
      <w:r>
        <w:t>/km². Регионът има ограничени възможности за население и възпроизводство на работната сила. Делът на населението в трудоспособна възраст е висок в сравнение със средното за страната.</w:t>
      </w:r>
      <w:r w:rsidR="00E37719">
        <w:rPr>
          <w:lang w:val="bg-BG"/>
        </w:rPr>
        <w:t xml:space="preserve"> </w:t>
      </w:r>
      <w:r>
        <w:t xml:space="preserve">Северен централен </w:t>
      </w:r>
      <w:r w:rsidR="00E37719">
        <w:rPr>
          <w:lang w:val="bg-BG"/>
        </w:rPr>
        <w:t>район</w:t>
      </w:r>
      <w:r>
        <w:t>н има 5 университета.</w:t>
      </w:r>
    </w:p>
    <w:p w:rsidR="006F1A4C" w:rsidRDefault="00330EEB">
      <w:pPr>
        <w:pStyle w:val="P68B1DB1-Normal5"/>
        <w:tabs>
          <w:tab w:val="left" w:pos="2161"/>
          <w:tab w:val="left" w:leader="dot" w:pos="9072"/>
        </w:tabs>
        <w:spacing w:before="120" w:after="120" w:line="276" w:lineRule="auto"/>
        <w:ind w:firstLine="567"/>
        <w:jc w:val="both"/>
      </w:pPr>
      <w:r>
        <w:t>Област Велико Търново обхваща площ от 4</w:t>
      </w:r>
      <w:r w:rsidR="005D5836">
        <w:rPr>
          <w:lang w:val="bg-BG"/>
        </w:rPr>
        <w:t xml:space="preserve"> </w:t>
      </w:r>
      <w:r>
        <w:t>662 км</w:t>
      </w:r>
      <w:r w:rsidRPr="005D5836">
        <w:rPr>
          <w:vertAlign w:val="superscript"/>
        </w:rPr>
        <w:t>2</w:t>
      </w:r>
      <w:r>
        <w:t xml:space="preserve"> и има население от 204</w:t>
      </w:r>
      <w:r w:rsidR="005D5836">
        <w:rPr>
          <w:lang w:val="bg-BG"/>
        </w:rPr>
        <w:t xml:space="preserve"> </w:t>
      </w:r>
      <w:r>
        <w:t>033 души според данните от преброяването през 2021 г. Във Великотърновска област има 10 по-големи общини и 336 населени места.</w:t>
      </w:r>
    </w:p>
    <w:p w:rsidR="006F1A4C" w:rsidRDefault="00330EEB">
      <w:pPr>
        <w:pStyle w:val="P68B1DB1-Normal5"/>
        <w:tabs>
          <w:tab w:val="left" w:pos="2161"/>
          <w:tab w:val="left" w:leader="dot" w:pos="9072"/>
        </w:tabs>
        <w:spacing w:before="120" w:after="120" w:line="276" w:lineRule="auto"/>
        <w:ind w:firstLine="567"/>
        <w:jc w:val="both"/>
      </w:pPr>
      <w:r>
        <w:t xml:space="preserve">БВП във Великотърновска област нараства с темп по-висок от средния за страната спрямо населението. Работната сила е сред най-високообразованите в страната, но застаряването на населението е предизвикателство за пазара на труда. Инвестиционната и бизнес дейност в област Велико Търново е незадоволителна. </w:t>
      </w:r>
    </w:p>
    <w:p w:rsidR="006F1A4C" w:rsidRDefault="00330EEB">
      <w:pPr>
        <w:pStyle w:val="P68B1DB1-Normal5"/>
        <w:tabs>
          <w:tab w:val="left" w:pos="2161"/>
          <w:tab w:val="left" w:leader="dot" w:pos="9072"/>
        </w:tabs>
        <w:spacing w:before="120" w:after="120" w:line="276" w:lineRule="auto"/>
        <w:ind w:firstLine="567"/>
        <w:jc w:val="both"/>
      </w:pPr>
      <w:r>
        <w:t xml:space="preserve">Общата тенденция към застаряване на населението е особено забележима във Великотърновска област. Броят на студентите спрямо населението е сред най-високите в страната. Относително малък дял от населението живее в градските територии </w:t>
      </w:r>
      <w:r w:rsidR="003E7EA7">
        <w:t>-</w:t>
      </w:r>
      <w:r>
        <w:t xml:space="preserve"> 69,9 %, при 73,1 % за страната. В същото време гъстотата на населението на градските </w:t>
      </w:r>
      <w:r w:rsidR="00E37719">
        <w:rPr>
          <w:lang w:val="bg-BG"/>
        </w:rPr>
        <w:t>райони</w:t>
      </w:r>
      <w:r>
        <w:t xml:space="preserve"> в областта остава ниска </w:t>
      </w:r>
      <w:r w:rsidR="003E7EA7">
        <w:t>-</w:t>
      </w:r>
      <w:r>
        <w:t xml:space="preserve"> 1</w:t>
      </w:r>
      <w:r w:rsidR="005D5836">
        <w:rPr>
          <w:lang w:val="bg-BG"/>
        </w:rPr>
        <w:t xml:space="preserve"> </w:t>
      </w:r>
      <w:r>
        <w:t>024 души/кв.</w:t>
      </w:r>
      <w:r w:rsidR="005D5836">
        <w:rPr>
          <w:lang w:val="bg-BG"/>
        </w:rPr>
        <w:t xml:space="preserve"> </w:t>
      </w:r>
      <w:r>
        <w:t>км, спрямо 1489 души/кв.</w:t>
      </w:r>
      <w:r w:rsidR="005D5836">
        <w:rPr>
          <w:lang w:val="bg-BG"/>
        </w:rPr>
        <w:t xml:space="preserve"> </w:t>
      </w:r>
      <w:r>
        <w:t xml:space="preserve">км средно за страната. През 2021 г. относителният дял на домакинствата с достъп до интернет отбеляза леко увеличение, но остана относително ограничен </w:t>
      </w:r>
      <w:r w:rsidR="003E7EA7">
        <w:t>-</w:t>
      </w:r>
      <w:r>
        <w:t xml:space="preserve"> 81,7 % спрямо средната стойност за страната от 83,5 %.</w:t>
      </w:r>
    </w:p>
    <w:p w:rsidR="006F1A4C" w:rsidRDefault="00330EEB">
      <w:pPr>
        <w:pStyle w:val="P68B1DB1-Normal5"/>
        <w:tabs>
          <w:tab w:val="left" w:pos="2161"/>
          <w:tab w:val="left" w:leader="dot" w:pos="9072"/>
        </w:tabs>
        <w:spacing w:before="120" w:after="120" w:line="276" w:lineRule="auto"/>
        <w:ind w:firstLine="567"/>
        <w:jc w:val="both"/>
      </w:pPr>
      <w:r>
        <w:t>Територията на област Габрово е 2023 кв. км и е с население от 95</w:t>
      </w:r>
      <w:r w:rsidR="005D5836">
        <w:rPr>
          <w:lang w:val="bg-BG"/>
        </w:rPr>
        <w:t xml:space="preserve"> </w:t>
      </w:r>
      <w:r>
        <w:t>957 (2022 г.). В област Габрово има 4 по-големи общини и 349 населени места</w:t>
      </w:r>
      <w:r w:rsidR="00E37719">
        <w:rPr>
          <w:lang w:val="bg-BG"/>
        </w:rPr>
        <w:t>.</w:t>
      </w:r>
      <w:r>
        <w:t xml:space="preserve"> Габрово е една от областите, чиято демографска картина през 2021 г. отново е сред най-неблагоприятните в страната. </w:t>
      </w:r>
      <w:r w:rsidR="00BE391A">
        <w:t>Естественият прираст</w:t>
      </w:r>
      <w:r>
        <w:t xml:space="preserve"> на населението достига нов отрицателен рекорд при -22,1 </w:t>
      </w:r>
      <w:r w:rsidR="005A3799" w:rsidRPr="005A3799">
        <w:t>‰</w:t>
      </w:r>
      <w:r>
        <w:t xml:space="preserve">. в сравнение със средното за страната </w:t>
      </w:r>
      <w:r w:rsidR="003E7EA7">
        <w:t>-</w:t>
      </w:r>
      <w:r>
        <w:t xml:space="preserve"> 13,2 </w:t>
      </w:r>
      <w:r w:rsidR="005A3799" w:rsidRPr="005A3799">
        <w:t>‰</w:t>
      </w:r>
      <w:r>
        <w:t xml:space="preserve"> и е третият най-нисък в страната, след това в областите Видин и Монтана. През 2021 г. нетният процент на миграция също </w:t>
      </w:r>
      <w:r w:rsidR="005D5836">
        <w:rPr>
          <w:lang w:val="bg-BG"/>
        </w:rPr>
        <w:t>е</w:t>
      </w:r>
      <w:r>
        <w:t xml:space="preserve"> отрицателен, с процент от</w:t>
      </w:r>
      <w:r w:rsidR="005D5836">
        <w:rPr>
          <w:lang w:val="bg-BG"/>
        </w:rPr>
        <w:t xml:space="preserve"> - </w:t>
      </w:r>
      <w:r>
        <w:t xml:space="preserve">0,8. По-голямата част от населението на областта е градско </w:t>
      </w:r>
      <w:r w:rsidR="005D5836">
        <w:rPr>
          <w:lang w:val="bg-BG"/>
        </w:rPr>
        <w:t>-</w:t>
      </w:r>
      <w:r>
        <w:t xml:space="preserve"> 79,9 %, при 73,1 % за страната, но гъстотата му е сравнително ниска, с 1</w:t>
      </w:r>
      <w:r w:rsidR="005D5836">
        <w:rPr>
          <w:lang w:val="bg-BG"/>
        </w:rPr>
        <w:t xml:space="preserve"> </w:t>
      </w:r>
      <w:r>
        <w:t>191 души/кв.</w:t>
      </w:r>
      <w:r w:rsidR="005D5836">
        <w:rPr>
          <w:lang w:val="bg-BG"/>
        </w:rPr>
        <w:t xml:space="preserve"> </w:t>
      </w:r>
      <w:r>
        <w:t>км, в сравнение с 1489 души/кв.км.</w:t>
      </w:r>
    </w:p>
    <w:p w:rsidR="006F1A4C" w:rsidRDefault="00330EEB">
      <w:pPr>
        <w:pStyle w:val="P68B1DB1-Normal5"/>
        <w:tabs>
          <w:tab w:val="left" w:pos="2161"/>
          <w:tab w:val="left" w:leader="dot" w:pos="9072"/>
        </w:tabs>
        <w:spacing w:before="120" w:after="120" w:line="276" w:lineRule="auto"/>
        <w:ind w:firstLine="567"/>
        <w:jc w:val="both"/>
      </w:pPr>
      <w:r>
        <w:t xml:space="preserve">БВП, заплатите и доходите в област Габрово продължават да нарастват, а равнището на бедност остава сравнително ниско. Габрово е една от областите с най-неблагоприятни демографски </w:t>
      </w:r>
      <w:r w:rsidR="005A3799">
        <w:rPr>
          <w:lang w:val="bg-BG"/>
        </w:rPr>
        <w:t>показатели</w:t>
      </w:r>
      <w:r>
        <w:t xml:space="preserve">. Делът на населението в трудоспособна възраст намалява за още една година. Бизнесът и инвестиционната дейност в района са високи. Габрово изпревари столицата и сега е областта с най-много усвоени еврофондове на </w:t>
      </w:r>
      <w:r w:rsidR="00A877FF">
        <w:rPr>
          <w:lang w:val="bg-BG"/>
        </w:rPr>
        <w:t>глава от населението</w:t>
      </w:r>
      <w:r>
        <w:t xml:space="preserve">. </w:t>
      </w:r>
    </w:p>
    <w:p w:rsidR="006F1A4C" w:rsidRDefault="00330EEB">
      <w:pPr>
        <w:pStyle w:val="P68B1DB1-Normal5"/>
        <w:tabs>
          <w:tab w:val="left" w:pos="2161"/>
          <w:tab w:val="left" w:leader="dot" w:pos="9072"/>
        </w:tabs>
        <w:spacing w:before="120" w:after="120" w:line="276" w:lineRule="auto"/>
        <w:ind w:firstLine="567"/>
        <w:jc w:val="both"/>
      </w:pPr>
      <w:r>
        <w:t xml:space="preserve">Достъпът на домакинствата до интернет продължава да се увеличава и през 2021 г. той надвишава средния за страната </w:t>
      </w:r>
      <w:r w:rsidR="003E7EA7">
        <w:t>-</w:t>
      </w:r>
      <w:r>
        <w:t xml:space="preserve"> 83,7 % в областта, спрямо 83,5 % за страната.</w:t>
      </w:r>
    </w:p>
    <w:p w:rsidR="006F1A4C" w:rsidRDefault="00330EEB">
      <w:pPr>
        <w:pStyle w:val="P68B1DB1-Normal5"/>
        <w:tabs>
          <w:tab w:val="left" w:pos="2161"/>
          <w:tab w:val="left" w:leader="dot" w:pos="9072"/>
        </w:tabs>
        <w:spacing w:before="120" w:after="120" w:line="276" w:lineRule="auto"/>
        <w:ind w:firstLine="567"/>
        <w:jc w:val="both"/>
      </w:pPr>
      <w:r>
        <w:t>Към 31.12.2023 г. населението на област Разград е 100</w:t>
      </w:r>
      <w:r w:rsidR="00D33D9C">
        <w:rPr>
          <w:lang w:val="bg-BG"/>
        </w:rPr>
        <w:t xml:space="preserve"> </w:t>
      </w:r>
      <w:r>
        <w:t xml:space="preserve">696 души, което представлява 1,6 % от населението на страната и се нарежда на 23-то място по население </w:t>
      </w:r>
      <w:r w:rsidR="00D33D9C">
        <w:rPr>
          <w:lang w:val="bg-BG"/>
        </w:rPr>
        <w:t>-</w:t>
      </w:r>
      <w:r>
        <w:t xml:space="preserve"> непосредствено след област Ямбол (106,3 хил. души) и преди област Търговище (95,6 хил. души). В сравнение с предходната година населението на областта е намаляло с 411 души, или 0,4 %. Територията на област Разград е 2</w:t>
      </w:r>
      <w:r w:rsidR="00D33D9C">
        <w:rPr>
          <w:lang w:val="bg-BG"/>
        </w:rPr>
        <w:t xml:space="preserve"> </w:t>
      </w:r>
      <w:r>
        <w:t xml:space="preserve">488 кв. км. В област Разград има 7 по-големи общини и 103 населени места. Естественият прираст на населението в област Разград бързо намалява, а през 2021 г. е спаднал до </w:t>
      </w:r>
      <w:r w:rsidR="003E7EA7">
        <w:t>-</w:t>
      </w:r>
      <w:r>
        <w:t xml:space="preserve"> 17,3 </w:t>
      </w:r>
      <w:r w:rsidR="005A3799">
        <w:t>‰</w:t>
      </w:r>
      <w:r>
        <w:t xml:space="preserve"> спрямо средната стойност за страната </w:t>
      </w:r>
      <w:r w:rsidR="003E7EA7">
        <w:t>-</w:t>
      </w:r>
      <w:r>
        <w:t xml:space="preserve"> 13.32 </w:t>
      </w:r>
      <w:r w:rsidR="005A3799">
        <w:t>‰</w:t>
      </w:r>
      <w:r>
        <w:t xml:space="preserve"> В същото време областта не успява да привлече нови жители, а нетният процент на миграция също е отрицателен (–1,5). Делът на градското население е 46,5 %.</w:t>
      </w:r>
    </w:p>
    <w:p w:rsidR="006F1A4C" w:rsidRDefault="00330EEB">
      <w:pPr>
        <w:pStyle w:val="P68B1DB1-Normal5"/>
        <w:tabs>
          <w:tab w:val="left" w:pos="2161"/>
          <w:tab w:val="left" w:leader="dot" w:pos="9072"/>
        </w:tabs>
        <w:spacing w:before="120" w:after="120" w:line="276" w:lineRule="auto"/>
        <w:ind w:firstLine="567"/>
        <w:jc w:val="both"/>
      </w:pPr>
      <w:r>
        <w:t xml:space="preserve">БВП в област Разград продължава да расте. Средната месечна пенсия е най-ниската в страната. Представянето на пазара на труда в областта е слабо, въпреки че през изминалата година се наблюдават някои положителни тенденции. Инвестиционната активност остава ниска. Относителният дял на домакинствата с достъп до интернет </w:t>
      </w:r>
      <w:r w:rsidR="00D33D9C">
        <w:rPr>
          <w:lang w:val="bg-BG"/>
        </w:rPr>
        <w:t>нараства</w:t>
      </w:r>
      <w:r>
        <w:t xml:space="preserve"> още повече през 2021 г., достигайки 76,6 %, въпреки че отново оста</w:t>
      </w:r>
      <w:r w:rsidR="00CE49A5">
        <w:rPr>
          <w:lang w:val="bg-BG"/>
        </w:rPr>
        <w:t>в</w:t>
      </w:r>
      <w:r>
        <w:t>а по-нисък от средната стойност от 83,5 % за цялата страна. Разград е сред трите области с по-малко от 50 % от населението, живеещо в градските райони.</w:t>
      </w:r>
    </w:p>
    <w:p w:rsidR="006F1A4C" w:rsidRDefault="00330EEB">
      <w:pPr>
        <w:pStyle w:val="P68B1DB1-Normal5"/>
        <w:tabs>
          <w:tab w:val="left" w:pos="2161"/>
          <w:tab w:val="left" w:leader="dot" w:pos="9072"/>
        </w:tabs>
        <w:spacing w:before="120" w:after="120" w:line="276" w:lineRule="auto"/>
        <w:ind w:firstLine="567"/>
        <w:jc w:val="both"/>
      </w:pPr>
      <w:r>
        <w:t>Територията на област Русе е 2</w:t>
      </w:r>
      <w:r w:rsidR="00D33D9C">
        <w:rPr>
          <w:lang w:val="bg-BG"/>
        </w:rPr>
        <w:t xml:space="preserve"> </w:t>
      </w:r>
      <w:r>
        <w:t>803 кв.</w:t>
      </w:r>
      <w:r w:rsidR="00D33D9C">
        <w:rPr>
          <w:lang w:val="bg-BG"/>
        </w:rPr>
        <w:t xml:space="preserve"> </w:t>
      </w:r>
      <w:r>
        <w:t>км. В област Русе има 8 по-големи общини и 83 населени места. Към 31 декември 2023 г. населението на област Русе е 187</w:t>
      </w:r>
      <w:r w:rsidR="00D33D9C">
        <w:rPr>
          <w:lang w:val="bg-BG"/>
        </w:rPr>
        <w:t xml:space="preserve"> </w:t>
      </w:r>
      <w:r>
        <w:t xml:space="preserve">830 души, което представлява 2,9 % от населението на България. В сравнение с 2022 г. </w:t>
      </w:r>
      <w:r w:rsidR="00D33D9C">
        <w:rPr>
          <w:lang w:val="bg-BG"/>
        </w:rPr>
        <w:t>населението</w:t>
      </w:r>
      <w:r>
        <w:t xml:space="preserve"> на областта намалява с 1</w:t>
      </w:r>
      <w:r w:rsidR="00D33D9C">
        <w:rPr>
          <w:lang w:val="bg-BG"/>
        </w:rPr>
        <w:t xml:space="preserve"> </w:t>
      </w:r>
      <w:r>
        <w:t xml:space="preserve">793 души или с 0,9 %.  </w:t>
      </w:r>
    </w:p>
    <w:p w:rsidR="006F1A4C" w:rsidRDefault="00330EEB">
      <w:pPr>
        <w:pStyle w:val="P68B1DB1-Normal5"/>
        <w:tabs>
          <w:tab w:val="left" w:pos="2161"/>
          <w:tab w:val="left" w:leader="dot" w:pos="9072"/>
        </w:tabs>
        <w:spacing w:before="120" w:after="120" w:line="276" w:lineRule="auto"/>
        <w:ind w:firstLine="567"/>
        <w:jc w:val="both"/>
      </w:pPr>
      <w:r>
        <w:t xml:space="preserve">Естественият прираст на населението в област Русе продължава да намалява, а през 2021 г. спада до </w:t>
      </w:r>
      <w:r w:rsidR="003E7EA7">
        <w:t>-</w:t>
      </w:r>
      <w:r>
        <w:t xml:space="preserve"> 17,6 </w:t>
      </w:r>
      <w:r w:rsidR="005A3799">
        <w:t>‰</w:t>
      </w:r>
      <w:r>
        <w:t xml:space="preserve"> спрямо средната стойност за страната от </w:t>
      </w:r>
      <w:r w:rsidR="00D33D9C">
        <w:rPr>
          <w:lang w:val="bg-BG"/>
        </w:rPr>
        <w:t>-</w:t>
      </w:r>
      <w:r>
        <w:t xml:space="preserve">13.2. Русе обаче е една от малкото области, които успяват да привлекат нови жители, въпреки че нетният му процент на миграция е нисък </w:t>
      </w:r>
      <w:r w:rsidR="003E7EA7">
        <w:t>-</w:t>
      </w:r>
      <w:r>
        <w:t xml:space="preserve"> 0,33. Русе е сред областите с високо ниво на урбанизация </w:t>
      </w:r>
      <w:r w:rsidR="003E7EA7">
        <w:t>-</w:t>
      </w:r>
      <w:r>
        <w:t xml:space="preserve"> през 2021 г. 76,9 % от населението живее в градски селища, спрямо 73,1 % за страната, а гъстотата на населението е 1618 души/кв.км, в сравнение с 1489 души/кв.км в страната. Коефициентите на възрастова зависимост в областта остават над средните за страната.</w:t>
      </w:r>
    </w:p>
    <w:p w:rsidR="006F1A4C" w:rsidRDefault="00330EEB">
      <w:pPr>
        <w:pStyle w:val="P68B1DB1-Normal5"/>
        <w:tabs>
          <w:tab w:val="left" w:pos="2161"/>
          <w:tab w:val="left" w:leader="dot" w:pos="9072"/>
        </w:tabs>
        <w:spacing w:before="120" w:after="120" w:line="276" w:lineRule="auto"/>
        <w:ind w:firstLine="567"/>
        <w:jc w:val="both"/>
      </w:pPr>
      <w:r>
        <w:t xml:space="preserve">БВП на глава от населението в областта се е увеличил и сега е деветият най-висок в страната. Както заетостта, така и безработицата остават относително благоприятни. Процентът на домакинствата в областта с достъп до интернет </w:t>
      </w:r>
      <w:r w:rsidR="00CE49A5">
        <w:rPr>
          <w:lang w:val="bg-BG"/>
        </w:rPr>
        <w:t xml:space="preserve">е </w:t>
      </w:r>
      <w:r>
        <w:t xml:space="preserve"> </w:t>
      </w:r>
      <w:r w:rsidR="00CE49A5">
        <w:t xml:space="preserve">87,9 % </w:t>
      </w:r>
      <w:r w:rsidR="00CE49A5">
        <w:rPr>
          <w:lang w:val="bg-BG"/>
        </w:rPr>
        <w:t xml:space="preserve">като </w:t>
      </w:r>
      <w:r>
        <w:t>се е увеличил значително</w:t>
      </w:r>
      <w:r w:rsidR="00CE49A5">
        <w:rPr>
          <w:lang w:val="bg-BG"/>
        </w:rPr>
        <w:t xml:space="preserve"> и е </w:t>
      </w:r>
      <w:r>
        <w:t xml:space="preserve"> по-висок от </w:t>
      </w:r>
      <w:r w:rsidR="00CE49A5">
        <w:rPr>
          <w:lang w:val="bg-BG"/>
        </w:rPr>
        <w:t>средния</w:t>
      </w:r>
      <w:r>
        <w:t xml:space="preserve"> </w:t>
      </w:r>
      <w:r w:rsidR="00CE49A5">
        <w:t>за страната 83,5 %</w:t>
      </w:r>
      <w:r>
        <w:t>.</w:t>
      </w:r>
    </w:p>
    <w:p w:rsidR="006F1A4C" w:rsidRDefault="00330EEB">
      <w:pPr>
        <w:pStyle w:val="P68B1DB1-Normal5"/>
        <w:tabs>
          <w:tab w:val="left" w:pos="2161"/>
          <w:tab w:val="left" w:leader="dot" w:pos="9072"/>
        </w:tabs>
        <w:spacing w:before="120" w:after="120" w:line="276" w:lineRule="auto"/>
        <w:ind w:firstLine="567"/>
        <w:jc w:val="both"/>
      </w:pPr>
      <w:r>
        <w:t>Към 7 септември 2021 г. в област Силистра има 97</w:t>
      </w:r>
      <w:r w:rsidR="00486F43">
        <w:rPr>
          <w:lang w:val="bg-BG"/>
        </w:rPr>
        <w:t xml:space="preserve"> </w:t>
      </w:r>
      <w:r>
        <w:t>770 души, което е 1,5 % от населението на страната. Територията на област Силистра е 2846 кв. км. В област Силистра има 7 по-големи общини и 118 населени места.</w:t>
      </w:r>
    </w:p>
    <w:p w:rsidR="006F1A4C" w:rsidRDefault="00330EEB">
      <w:pPr>
        <w:pStyle w:val="P68B1DB1-Normal5"/>
        <w:tabs>
          <w:tab w:val="left" w:pos="2161"/>
          <w:tab w:val="left" w:leader="dot" w:pos="9072"/>
        </w:tabs>
        <w:spacing w:before="120" w:after="120" w:line="276" w:lineRule="auto"/>
        <w:ind w:firstLine="567"/>
        <w:jc w:val="both"/>
      </w:pPr>
      <w:r>
        <w:t xml:space="preserve">Силистра е областта с най-нисък БВП на глава от населението, въпреки относително високия си темп на растеж. Местният пазар на труда все още е изправен пред предизвикателството на неблагоприятна образователна структура на работната сила и застаряването на населението. Силистра е сред регионите с много ниска инвестиционна активност. Силистра е сред областите с най-лош демографски профил. </w:t>
      </w:r>
    </w:p>
    <w:p w:rsidR="006F1A4C" w:rsidRDefault="00330EEB">
      <w:pPr>
        <w:pStyle w:val="P68B1DB1-Normal5"/>
        <w:tabs>
          <w:tab w:val="left" w:pos="2161"/>
          <w:tab w:val="left" w:leader="dot" w:pos="9072"/>
        </w:tabs>
        <w:spacing w:before="120" w:after="120" w:line="276" w:lineRule="auto"/>
        <w:ind w:firstLine="567"/>
        <w:jc w:val="both"/>
      </w:pPr>
      <w:r>
        <w:t xml:space="preserve">Естественият прираст на населението в област Силистра продължава да се влошава и през 2021 г. отчита значителен спад до </w:t>
      </w:r>
      <w:r w:rsidR="003E7EA7">
        <w:t>-</w:t>
      </w:r>
      <w:r>
        <w:t xml:space="preserve">18.2 </w:t>
      </w:r>
      <w:r w:rsidR="00FD0244" w:rsidRPr="00FD0244">
        <w:t>‰</w:t>
      </w:r>
      <w:r>
        <w:t xml:space="preserve"> в сравнение с </w:t>
      </w:r>
      <w:r w:rsidR="003E7EA7">
        <w:t>-</w:t>
      </w:r>
      <w:r>
        <w:t>13.2</w:t>
      </w:r>
      <w:r w:rsidR="00FD0244" w:rsidRPr="00FD0244">
        <w:t>‰</w:t>
      </w:r>
      <w:r w:rsidR="00FD0244">
        <w:rPr>
          <w:lang w:val="bg-BG"/>
        </w:rPr>
        <w:t xml:space="preserve"> </w:t>
      </w:r>
      <w:r>
        <w:t xml:space="preserve">в страната. Нетният процент на миграция също е отрицателен, въпреки че при –0,5 той не е твърде нисък. Силистра е една от областите с </w:t>
      </w:r>
      <w:r w:rsidR="00FD0244">
        <w:rPr>
          <w:lang w:val="bg-BG"/>
        </w:rPr>
        <w:t xml:space="preserve">преобладаващо </w:t>
      </w:r>
      <w:r w:rsidR="007A4326">
        <w:rPr>
          <w:lang w:val="bg-BG"/>
        </w:rPr>
        <w:t>селско</w:t>
      </w:r>
      <w:r>
        <w:t xml:space="preserve"> население</w:t>
      </w:r>
      <w:r w:rsidR="007A4326">
        <w:rPr>
          <w:lang w:val="bg-BG"/>
        </w:rPr>
        <w:t>.</w:t>
      </w:r>
      <w:r>
        <w:t xml:space="preserve"> През 2021 г. 43,7 % от населението живее в градски </w:t>
      </w:r>
      <w:r w:rsidR="007A4326">
        <w:rPr>
          <w:lang w:val="bg-BG"/>
        </w:rPr>
        <w:t>райони</w:t>
      </w:r>
      <w:r>
        <w:t xml:space="preserve">, срещу 73,1 % в цялата страна. Гъстотата на населението е два пъти по-ниска от средната за страната </w:t>
      </w:r>
      <w:r w:rsidR="003E7EA7">
        <w:t>-</w:t>
      </w:r>
      <w:r>
        <w:t xml:space="preserve"> 767 души/</w:t>
      </w:r>
      <w:proofErr w:type="spellStart"/>
      <w:r>
        <w:t>кв.км</w:t>
      </w:r>
      <w:proofErr w:type="spellEnd"/>
      <w:r>
        <w:t>, срещу 1489 души/</w:t>
      </w:r>
      <w:proofErr w:type="spellStart"/>
      <w:r>
        <w:t>кв.км</w:t>
      </w:r>
      <w:proofErr w:type="spellEnd"/>
      <w:r>
        <w:t xml:space="preserve"> в цялата страна. Достъпът до интернет </w:t>
      </w:r>
      <w:r w:rsidR="007A4326">
        <w:rPr>
          <w:lang w:val="bg-BG"/>
        </w:rPr>
        <w:t xml:space="preserve">за домакинствата </w:t>
      </w:r>
      <w:r w:rsidR="007A4326">
        <w:t xml:space="preserve">в областта </w:t>
      </w:r>
      <w:r>
        <w:t>е 79,0 %, в сравнение със средната стойност от 83,5 % за цялата страна през 2021 г.</w:t>
      </w:r>
    </w:p>
    <w:p w:rsidR="006F1A4C" w:rsidRDefault="00330EEB">
      <w:pPr>
        <w:pStyle w:val="P68B1DB1-Normal5"/>
        <w:tabs>
          <w:tab w:val="left" w:pos="2161"/>
          <w:tab w:val="left" w:leader="dot" w:pos="9072"/>
        </w:tabs>
        <w:spacing w:before="120" w:after="120" w:line="276" w:lineRule="auto"/>
        <w:ind w:firstLine="567"/>
        <w:jc w:val="both"/>
      </w:pPr>
      <w:r>
        <w:rPr>
          <w:b/>
        </w:rPr>
        <w:t>Североизточен регион</w:t>
      </w:r>
      <w:r>
        <w:t xml:space="preserve"> включва областите Варна, Добрич, Търговище и Шумен. Площта на района е 14</w:t>
      </w:r>
      <w:r w:rsidR="00486F43">
        <w:rPr>
          <w:lang w:val="bg-BG"/>
        </w:rPr>
        <w:t xml:space="preserve"> </w:t>
      </w:r>
      <w:r>
        <w:t>487 кв. км, което представлява 13,05 % от територията на страната. Той е най-малкият по площ от всички региони в страната. Населението на региона към 2023 г. е 825</w:t>
      </w:r>
      <w:r w:rsidR="00E45584">
        <w:rPr>
          <w:lang w:val="bg-BG"/>
        </w:rPr>
        <w:t xml:space="preserve"> </w:t>
      </w:r>
      <w:r>
        <w:t>009, като 614</w:t>
      </w:r>
      <w:r w:rsidR="00E45584">
        <w:rPr>
          <w:lang w:val="bg-BG"/>
        </w:rPr>
        <w:t xml:space="preserve"> </w:t>
      </w:r>
      <w:r>
        <w:t>806 живеят в градски райони и 210</w:t>
      </w:r>
      <w:r w:rsidR="00E45584">
        <w:rPr>
          <w:lang w:val="bg-BG"/>
        </w:rPr>
        <w:t xml:space="preserve"> </w:t>
      </w:r>
      <w:r>
        <w:t xml:space="preserve">203 в селски райони. Местоположението на региона в североизточната част на България му дава определени предимства пред други райони в Северна България. Релефът е хълмист и </w:t>
      </w:r>
      <w:r w:rsidR="007A4326">
        <w:rPr>
          <w:lang w:val="bg-BG"/>
        </w:rPr>
        <w:t>равнинен</w:t>
      </w:r>
      <w:r>
        <w:t xml:space="preserve"> с много плата, което благоприятства развитието на селското стопанство и транспорта. Раждаемостта е по-висока от средната за страната, което определя по-слабо изразения отрицателен естествен </w:t>
      </w:r>
      <w:r w:rsidR="007A4326">
        <w:rPr>
          <w:lang w:val="bg-BG"/>
        </w:rPr>
        <w:t>прираст</w:t>
      </w:r>
      <w:r>
        <w:t xml:space="preserve">. Делът на градското население е висок </w:t>
      </w:r>
      <w:r w:rsidR="003E7EA7">
        <w:t>-</w:t>
      </w:r>
      <w:r>
        <w:t xml:space="preserve"> 72,7 %.</w:t>
      </w:r>
    </w:p>
    <w:p w:rsidR="006F1A4C" w:rsidRDefault="00330EEB">
      <w:pPr>
        <w:pStyle w:val="P68B1DB1-Normal5"/>
        <w:tabs>
          <w:tab w:val="left" w:pos="2161"/>
          <w:tab w:val="left" w:leader="dot" w:pos="9072"/>
        </w:tabs>
        <w:spacing w:before="120" w:after="120" w:line="276" w:lineRule="auto"/>
        <w:ind w:firstLine="567"/>
        <w:jc w:val="both"/>
      </w:pPr>
      <w:r>
        <w:t>Към 31 декември 2023 г. населението на област Варна е 434</w:t>
      </w:r>
      <w:r w:rsidR="0034725A">
        <w:rPr>
          <w:lang w:val="bg-BG"/>
        </w:rPr>
        <w:t xml:space="preserve"> </w:t>
      </w:r>
      <w:r>
        <w:t>191 души, което представлява 6,7 % от населението на България и се нарежда на трето място по население след София (столица) (1</w:t>
      </w:r>
      <w:r w:rsidR="0034725A">
        <w:rPr>
          <w:lang w:val="bg-BG"/>
        </w:rPr>
        <w:t xml:space="preserve"> </w:t>
      </w:r>
      <w:r>
        <w:t xml:space="preserve">287 хиляди души) и Пловдив (634 хиляди души), </w:t>
      </w:r>
      <w:r w:rsidR="00F75B92">
        <w:rPr>
          <w:lang w:val="bg-BG"/>
        </w:rPr>
        <w:t xml:space="preserve">и </w:t>
      </w:r>
      <w:r>
        <w:t xml:space="preserve">преди Бургаска област (384 хиляди души). Територията на </w:t>
      </w:r>
      <w:r w:rsidR="001D635C">
        <w:t>района</w:t>
      </w:r>
      <w:r>
        <w:t xml:space="preserve"> е 3</w:t>
      </w:r>
      <w:r w:rsidR="00F30A03">
        <w:rPr>
          <w:lang w:val="bg-BG"/>
        </w:rPr>
        <w:t xml:space="preserve"> </w:t>
      </w:r>
      <w:r>
        <w:t>819 кв.</w:t>
      </w:r>
      <w:r w:rsidR="00F30A03">
        <w:rPr>
          <w:lang w:val="bg-BG"/>
        </w:rPr>
        <w:t xml:space="preserve"> </w:t>
      </w:r>
      <w:r>
        <w:t xml:space="preserve">км. Във Варненска област има 12 по-големи общини и 159 населени места. </w:t>
      </w:r>
    </w:p>
    <w:p w:rsidR="006F1A4C" w:rsidRDefault="00330EEB">
      <w:pPr>
        <w:pStyle w:val="P68B1DB1-Normal5"/>
        <w:tabs>
          <w:tab w:val="left" w:pos="2161"/>
          <w:tab w:val="left" w:leader="dot" w:pos="9072"/>
        </w:tabs>
        <w:spacing w:before="120" w:after="120" w:line="276" w:lineRule="auto"/>
        <w:ind w:firstLine="567"/>
        <w:jc w:val="both"/>
      </w:pPr>
      <w:r>
        <w:t>През 2021 г. Варна остана сред области</w:t>
      </w:r>
      <w:r w:rsidR="00F75B92">
        <w:rPr>
          <w:lang w:val="bg-BG"/>
        </w:rPr>
        <w:t xml:space="preserve">те с най-голям </w:t>
      </w:r>
      <w:r>
        <w:t xml:space="preserve"> БВП на глава от населението. Заплатите и доходите продължават да растат. Тенденциите на пазара на труда през 2022 г. са на второ място в страната. Инвестициите и стопанската дейност отново остават сравнително високи. Усвояването на европейското финансиране изостава. Инфраструктурата на района е добре развита. Както развитието на електронното управление, така и предоставянето на административни услуги за обслужване на едно гише са на високо равнище.</w:t>
      </w:r>
    </w:p>
    <w:p w:rsidR="006F1A4C" w:rsidRDefault="00330EEB">
      <w:pPr>
        <w:pStyle w:val="P68B1DB1-Normal5"/>
        <w:tabs>
          <w:tab w:val="left" w:pos="2161"/>
          <w:tab w:val="left" w:leader="dot" w:pos="9072"/>
        </w:tabs>
        <w:spacing w:before="120" w:after="120" w:line="276" w:lineRule="auto"/>
        <w:ind w:firstLine="567"/>
        <w:jc w:val="both"/>
      </w:pPr>
      <w:r>
        <w:t xml:space="preserve">Варна е сред областите с относително благоприятно демографско развитие. Варна е сред областите с най-висок дял на градското население </w:t>
      </w:r>
      <w:r w:rsidR="003E7EA7">
        <w:t>-</w:t>
      </w:r>
      <w:r>
        <w:t xml:space="preserve"> 83,3 %, спрямо 73,1 % в страната, а относително висока гъстота в градските райони </w:t>
      </w:r>
      <w:r w:rsidR="003E7EA7">
        <w:t>-</w:t>
      </w:r>
      <w:r>
        <w:t xml:space="preserve"> 1</w:t>
      </w:r>
      <w:r w:rsidR="00A14ABE">
        <w:rPr>
          <w:lang w:val="bg-BG"/>
        </w:rPr>
        <w:t xml:space="preserve"> </w:t>
      </w:r>
      <w:r>
        <w:t>800 души/кв.</w:t>
      </w:r>
      <w:r w:rsidR="00A14ABE">
        <w:rPr>
          <w:lang w:val="bg-BG"/>
        </w:rPr>
        <w:t xml:space="preserve"> </w:t>
      </w:r>
      <w:r>
        <w:t>км, при средно за страната 1</w:t>
      </w:r>
      <w:r w:rsidR="00A14ABE">
        <w:rPr>
          <w:lang w:val="bg-BG"/>
        </w:rPr>
        <w:t xml:space="preserve"> </w:t>
      </w:r>
      <w:r>
        <w:t>500 души/кв.</w:t>
      </w:r>
      <w:r w:rsidR="00A14ABE">
        <w:rPr>
          <w:lang w:val="bg-BG"/>
        </w:rPr>
        <w:t xml:space="preserve"> </w:t>
      </w:r>
      <w:r>
        <w:t>км. Относителният дял на домакинствата с достъп до интернет е отбелязал огромно увеличение, достигайки 91,1 %, спрямо 83,5 % за страната.</w:t>
      </w:r>
    </w:p>
    <w:p w:rsidR="006F1A4C" w:rsidRDefault="00330EEB">
      <w:pPr>
        <w:pStyle w:val="P68B1DB1-Normal5"/>
        <w:tabs>
          <w:tab w:val="left" w:pos="2161"/>
          <w:tab w:val="left" w:leader="dot" w:pos="9072"/>
        </w:tabs>
        <w:spacing w:before="120" w:after="120" w:line="276" w:lineRule="auto"/>
        <w:ind w:firstLine="567"/>
        <w:jc w:val="both"/>
      </w:pPr>
      <w:r>
        <w:t>Към 31 декември 2023 г. населението на област Добрич е 146</w:t>
      </w:r>
      <w:r w:rsidR="00A14ABE">
        <w:rPr>
          <w:lang w:val="bg-BG"/>
        </w:rPr>
        <w:t xml:space="preserve"> </w:t>
      </w:r>
      <w:r>
        <w:t xml:space="preserve">635 души, което представлява 2,3 % от населението на страната. В сравнение с 2022 г. населението на областта намалява с 573 или с 0,4 %. Територията на </w:t>
      </w:r>
      <w:r w:rsidR="001D635C">
        <w:t>района</w:t>
      </w:r>
      <w:r>
        <w:t xml:space="preserve"> е 4</w:t>
      </w:r>
      <w:r w:rsidR="00A14ABE">
        <w:rPr>
          <w:lang w:val="bg-BG"/>
        </w:rPr>
        <w:t xml:space="preserve"> </w:t>
      </w:r>
      <w:r>
        <w:t>720 кв.</w:t>
      </w:r>
      <w:r w:rsidR="00A14ABE">
        <w:rPr>
          <w:lang w:val="bg-BG"/>
        </w:rPr>
        <w:t xml:space="preserve"> </w:t>
      </w:r>
      <w:r>
        <w:t>км. В област Добрич има 7 по-големи общини и 216</w:t>
      </w:r>
      <w:r w:rsidR="00A14ABE">
        <w:t xml:space="preserve"> населени места. До 2023 г. 102 </w:t>
      </w:r>
      <w:r>
        <w:t>555 души, или 69,9 %, живеят в градове и 44,080 души, или 30,1 % от населението на областта.</w:t>
      </w:r>
    </w:p>
    <w:p w:rsidR="006F1A4C" w:rsidRDefault="00330EEB">
      <w:pPr>
        <w:pStyle w:val="P68B1DB1-Normal5"/>
        <w:tabs>
          <w:tab w:val="left" w:pos="2161"/>
          <w:tab w:val="left" w:leader="dot" w:pos="9072"/>
        </w:tabs>
        <w:spacing w:before="120" w:after="120" w:line="276" w:lineRule="auto"/>
        <w:ind w:firstLine="567"/>
        <w:jc w:val="both"/>
      </w:pPr>
      <w:r>
        <w:t xml:space="preserve">БВП на глава от населението в област Добрич продължава да расте, но стойността му остава сравнително ниска. В същото време относителното равнище на бедност остава високо. Инвестициите в областта се свиват, но стойността на продукцията се увеличава. </w:t>
      </w:r>
    </w:p>
    <w:p w:rsidR="006F1A4C" w:rsidRDefault="00330EEB">
      <w:pPr>
        <w:pStyle w:val="P68B1DB1-Normal5"/>
        <w:tabs>
          <w:tab w:val="left" w:pos="2161"/>
          <w:tab w:val="left" w:leader="dot" w:pos="9072"/>
        </w:tabs>
        <w:spacing w:before="120" w:after="120" w:line="276" w:lineRule="auto"/>
        <w:ind w:firstLine="567"/>
        <w:jc w:val="both"/>
      </w:pPr>
      <w:r>
        <w:t xml:space="preserve">Градското население остава сравнително ниско </w:t>
      </w:r>
      <w:r w:rsidR="00A14ABE">
        <w:rPr>
          <w:lang w:val="bg-BG"/>
        </w:rPr>
        <w:t>-</w:t>
      </w:r>
      <w:r>
        <w:t xml:space="preserve"> 68,6 % спрямо 73,1 % в страната, а Добрич продължава да е областта с най-ниска гъстота на населението в градските населени места </w:t>
      </w:r>
      <w:r w:rsidR="00A14ABE">
        <w:rPr>
          <w:lang w:val="bg-BG"/>
        </w:rPr>
        <w:t xml:space="preserve">- </w:t>
      </w:r>
      <w:r>
        <w:t>651 души/кв.</w:t>
      </w:r>
      <w:r w:rsidR="00A14ABE">
        <w:rPr>
          <w:lang w:val="bg-BG"/>
        </w:rPr>
        <w:t xml:space="preserve"> </w:t>
      </w:r>
      <w:r>
        <w:t>км, спрямо 1489 души/кв.</w:t>
      </w:r>
      <w:r w:rsidR="00A14ABE">
        <w:rPr>
          <w:lang w:val="bg-BG"/>
        </w:rPr>
        <w:t xml:space="preserve"> </w:t>
      </w:r>
      <w:r>
        <w:t xml:space="preserve">км в страната. Относителният дял на домакинствата с достъп до интернет в област Добрич остава сравнително нисък </w:t>
      </w:r>
      <w:r w:rsidR="00A14ABE">
        <w:rPr>
          <w:lang w:val="bg-BG"/>
        </w:rPr>
        <w:t>-</w:t>
      </w:r>
      <w:r>
        <w:t xml:space="preserve"> 68,1 %, при средно 83,5 % за страната.</w:t>
      </w:r>
    </w:p>
    <w:p w:rsidR="006F1A4C" w:rsidRDefault="00330EEB">
      <w:pPr>
        <w:pStyle w:val="P68B1DB1-Normal5"/>
        <w:tabs>
          <w:tab w:val="left" w:pos="2161"/>
          <w:tab w:val="left" w:leader="dot" w:pos="9072"/>
        </w:tabs>
        <w:spacing w:before="120" w:after="120" w:line="276" w:lineRule="auto"/>
        <w:ind w:firstLine="567"/>
        <w:jc w:val="both"/>
      </w:pPr>
      <w:r>
        <w:t>Към 31 декември 2023 г. населението на област Търговище е 95</w:t>
      </w:r>
      <w:r w:rsidR="00A14ABE">
        <w:rPr>
          <w:lang w:val="bg-BG"/>
        </w:rPr>
        <w:t xml:space="preserve"> </w:t>
      </w:r>
      <w:r>
        <w:t>609 души, което представлява 1,5 % от населението на България и се нарежда на 24</w:t>
      </w:r>
      <w:r w:rsidRPr="00A14ABE">
        <w:rPr>
          <w:vertAlign w:val="superscript"/>
        </w:rPr>
        <w:t>-то</w:t>
      </w:r>
      <w:r>
        <w:t xml:space="preserve"> място по население след област Разград (100,7 хиляди души) и преди област Габрово (94.9 хиляди души). В сравнение с 2022 г. населението на областта през 2023 г. намалява с 592 души, или с 0,6 %. Територията на </w:t>
      </w:r>
      <w:r w:rsidR="001D635C">
        <w:t>района</w:t>
      </w:r>
      <w:r>
        <w:t xml:space="preserve"> е 2</w:t>
      </w:r>
      <w:r w:rsidR="00A14ABE">
        <w:rPr>
          <w:lang w:val="bg-BG"/>
        </w:rPr>
        <w:t xml:space="preserve"> </w:t>
      </w:r>
      <w:r>
        <w:t>710 кв.</w:t>
      </w:r>
      <w:r w:rsidR="00A14ABE">
        <w:rPr>
          <w:lang w:val="bg-BG"/>
        </w:rPr>
        <w:t xml:space="preserve"> </w:t>
      </w:r>
      <w:r>
        <w:t>км. В област Търговище има 5 по-големи общини и 194 населени места.</w:t>
      </w:r>
    </w:p>
    <w:p w:rsidR="006F1A4C" w:rsidRDefault="00330EEB">
      <w:pPr>
        <w:pStyle w:val="P68B1DB1-Normal5"/>
        <w:tabs>
          <w:tab w:val="left" w:pos="2161"/>
          <w:tab w:val="left" w:leader="dot" w:pos="9072"/>
        </w:tabs>
        <w:spacing w:before="120" w:after="120" w:line="276" w:lineRule="auto"/>
        <w:ind w:firstLine="567"/>
        <w:jc w:val="both"/>
      </w:pPr>
      <w:r>
        <w:t xml:space="preserve">През 2021 г. както стойността, така и темпът на растеж на БВП в област Търговище </w:t>
      </w:r>
      <w:r w:rsidR="00F75B92">
        <w:rPr>
          <w:lang w:val="bg-BG"/>
        </w:rPr>
        <w:t>са</w:t>
      </w:r>
      <w:r>
        <w:t xml:space="preserve"> сравнително ниски. Делът на населението в трудоспособна възраст намалява и се отдалечава от средното за страната. Огромно предизвикателство за пазара на труда в областта е влошаващият се образователен статус на работната сила. </w:t>
      </w:r>
    </w:p>
    <w:p w:rsidR="006F1A4C" w:rsidRDefault="00330EEB">
      <w:pPr>
        <w:pStyle w:val="P68B1DB1-Normal5"/>
        <w:tabs>
          <w:tab w:val="left" w:pos="2161"/>
          <w:tab w:val="left" w:leader="dot" w:pos="9072"/>
        </w:tabs>
        <w:spacing w:before="120" w:after="120" w:line="276" w:lineRule="auto"/>
        <w:ind w:firstLine="567"/>
        <w:jc w:val="both"/>
      </w:pPr>
      <w:r>
        <w:t xml:space="preserve">Населението на областта застарява с по-бързи темпове, отколкото в страната. Обхватът на образователната система в областта е най-нисък в национален мащаб. Степента на урбанизация в областта не се е променила значително през последните години и остава сред най-ниските в страната </w:t>
      </w:r>
      <w:r w:rsidR="003E7EA7">
        <w:t>-</w:t>
      </w:r>
      <w:r>
        <w:t xml:space="preserve"> 54,3 % в Търговище, спрямо 73,1 % в страната. Гъстотата на населението в градските </w:t>
      </w:r>
      <w:r w:rsidR="00B50286">
        <w:rPr>
          <w:lang w:val="bg-BG"/>
        </w:rPr>
        <w:t>райони</w:t>
      </w:r>
      <w:r>
        <w:t xml:space="preserve"> също е сравнително ниска </w:t>
      </w:r>
      <w:r w:rsidR="003E7EA7">
        <w:t>-</w:t>
      </w:r>
      <w:r>
        <w:t xml:space="preserve"> 1</w:t>
      </w:r>
      <w:r w:rsidR="00B03FA7">
        <w:rPr>
          <w:lang w:val="bg-BG"/>
        </w:rPr>
        <w:t xml:space="preserve"> </w:t>
      </w:r>
      <w:r>
        <w:t>050 души/кв.</w:t>
      </w:r>
      <w:r w:rsidR="00B03FA7">
        <w:rPr>
          <w:lang w:val="bg-BG"/>
        </w:rPr>
        <w:t xml:space="preserve"> </w:t>
      </w:r>
      <w:r>
        <w:t>км, в сравнение със средно 1</w:t>
      </w:r>
      <w:r w:rsidR="00B03FA7">
        <w:rPr>
          <w:lang w:val="bg-BG"/>
        </w:rPr>
        <w:t xml:space="preserve"> </w:t>
      </w:r>
      <w:r>
        <w:t>489 души в страната. Налице е подобрение в достъпа на населението до интернет, което през последните три години е надвишило средната стойност за страната, достигайки 88 % през 2021 г. в сравнение с 83,5 % в страната.</w:t>
      </w:r>
    </w:p>
    <w:p w:rsidR="006F1A4C" w:rsidRDefault="00330EEB">
      <w:pPr>
        <w:pStyle w:val="P68B1DB1-Normal5"/>
        <w:tabs>
          <w:tab w:val="left" w:pos="2161"/>
          <w:tab w:val="left" w:leader="dot" w:pos="9072"/>
        </w:tabs>
        <w:spacing w:before="120" w:after="120" w:line="276" w:lineRule="auto"/>
        <w:ind w:firstLine="567"/>
        <w:jc w:val="both"/>
      </w:pPr>
      <w:r>
        <w:t>Шуменска област е разделена на 10 по-големи общини и 151 населени места. Територията на областта е 3</w:t>
      </w:r>
      <w:r w:rsidR="00B03FA7">
        <w:rPr>
          <w:lang w:val="bg-BG"/>
        </w:rPr>
        <w:t xml:space="preserve"> </w:t>
      </w:r>
      <w:r>
        <w:t>390 кв. км. Теренът в област Шумен е разнообразен, с равнини, хълмове и планински райони. Към 31 декември 2023 г. населението на област Шумен е 149</w:t>
      </w:r>
      <w:r w:rsidR="00B03FA7">
        <w:rPr>
          <w:lang w:val="bg-BG"/>
        </w:rPr>
        <w:t xml:space="preserve"> </w:t>
      </w:r>
      <w:r>
        <w:t>699 души, което представлява 2,3 % от населението на България и се нарежда на 14-о място по население, непосредствено след Сливен (170</w:t>
      </w:r>
      <w:r w:rsidR="00B03FA7">
        <w:rPr>
          <w:lang w:val="bg-BG"/>
        </w:rPr>
        <w:t xml:space="preserve"> </w:t>
      </w:r>
      <w:r>
        <w:t>051 души) и преди Враца (147</w:t>
      </w:r>
      <w:r w:rsidR="00B03FA7">
        <w:rPr>
          <w:lang w:val="bg-BG"/>
        </w:rPr>
        <w:t xml:space="preserve"> </w:t>
      </w:r>
      <w:r>
        <w:t>619 души). В сравнение с 2022 г. населението на областта се увеличава със 71 души.</w:t>
      </w:r>
    </w:p>
    <w:p w:rsidR="006F1A4C" w:rsidRDefault="00330EEB">
      <w:pPr>
        <w:pStyle w:val="P68B1DB1-Normal5"/>
        <w:tabs>
          <w:tab w:val="left" w:pos="2161"/>
          <w:tab w:val="left" w:leader="dot" w:pos="9072"/>
        </w:tabs>
        <w:spacing w:before="120" w:after="120" w:line="276" w:lineRule="auto"/>
        <w:ind w:firstLine="567"/>
        <w:jc w:val="both"/>
      </w:pPr>
      <w:r>
        <w:t>БВП, доходите и пенсиите в област Шумен продължават да растат. Икономическата активност традиционно е висока и се увеличава допълнително. Това увеличение е придружено от увеличаване както на заетостта, така и на безработицата. Инвестиционната активност остава сравнително слаба. Шумен е сред най-добре представящите се области в категорията за оценка на инфраструктурата. Самооценките на местните администрации по отношение на развитието на електронното управление и предоставянето на услуги за „обслужване на едно гише“ се повишиха.</w:t>
      </w:r>
    </w:p>
    <w:p w:rsidR="006F1A4C" w:rsidRDefault="00330EEB">
      <w:pPr>
        <w:pStyle w:val="P68B1DB1-Normal5"/>
        <w:tabs>
          <w:tab w:val="left" w:pos="2161"/>
          <w:tab w:val="left" w:leader="dot" w:pos="9072"/>
        </w:tabs>
        <w:spacing w:before="120" w:after="120" w:line="276" w:lineRule="auto"/>
        <w:ind w:firstLine="567"/>
        <w:jc w:val="both"/>
      </w:pPr>
      <w:r>
        <w:t xml:space="preserve">Естественият прираст на населението е по-малко благоприятен от средния, но областта е успяла да привлече нови жители. Градското население, както и гъстотата на населението отново </w:t>
      </w:r>
      <w:r w:rsidR="00B50286">
        <w:rPr>
          <w:lang w:val="bg-BG"/>
        </w:rPr>
        <w:t>остават</w:t>
      </w:r>
      <w:r>
        <w:t xml:space="preserve"> ниски през 2021 г. Делът на населението, живеещо в населени места, е 60,0 %, спрямо средната за страната 73,1 %, гъстотата на населението е 873 души/кв.км, в сравнение с 1489 души/кв.км средно за цялата страна. Достъпът на домакинствата до интернет се е увеличил до 84,6 % и остава по-висок, отколкото в страната (83,5 %). </w:t>
      </w:r>
    </w:p>
    <w:p w:rsidR="006F1A4C" w:rsidRDefault="00330EEB">
      <w:pPr>
        <w:pStyle w:val="P68B1DB1-Normal5"/>
        <w:tabs>
          <w:tab w:val="left" w:pos="2161"/>
          <w:tab w:val="left" w:leader="dot" w:pos="9072"/>
        </w:tabs>
        <w:spacing w:before="120" w:after="120" w:line="276" w:lineRule="auto"/>
        <w:ind w:firstLine="567"/>
        <w:jc w:val="both"/>
      </w:pPr>
      <w:r>
        <w:rPr>
          <w:b/>
        </w:rPr>
        <w:t>Южен централен район</w:t>
      </w:r>
      <w:r>
        <w:t xml:space="preserve"> включва областите Пловдив, Пазарджик, Кърджали, Хасково Смолян. Столицата е Пловдив, вторият по големина град в България. Това е вторият най-важен икономически регион на страната, който заедно с Югозападния регион произвежда почти две трети от националния БВП. Площта на региона е 22 365,1 km² или 20,1 % от територията на страната. Териториалната структура е, както следва: селскостопанските територии са 48,1 %, горите </w:t>
      </w:r>
      <w:r w:rsidR="003E7EA7">
        <w:t>-</w:t>
      </w:r>
      <w:r>
        <w:t xml:space="preserve"> 45,1 %, а градските райони заемат само 3,9 %. Населението на региона към 2023 г. е 1302828, като 871829 живеят в градски райони и 431000 в селските райони.</w:t>
      </w:r>
    </w:p>
    <w:p w:rsidR="006F1A4C" w:rsidRDefault="00330EEB">
      <w:pPr>
        <w:pStyle w:val="P68B1DB1-Normal5"/>
        <w:tabs>
          <w:tab w:val="left" w:pos="2161"/>
          <w:tab w:val="left" w:leader="dot" w:pos="9072"/>
        </w:tabs>
        <w:spacing w:before="120" w:after="120" w:line="276" w:lineRule="auto"/>
        <w:ind w:firstLine="567"/>
        <w:jc w:val="both"/>
      </w:pPr>
      <w:r>
        <w:t xml:space="preserve">БВП на глава от населението в област Пловдив продължава да расте. Територията на </w:t>
      </w:r>
      <w:r w:rsidR="001D635C">
        <w:t>района</w:t>
      </w:r>
      <w:r>
        <w:t xml:space="preserve"> е 5,973 кв.</w:t>
      </w:r>
      <w:r w:rsidR="00021938">
        <w:rPr>
          <w:lang w:val="bg-BG"/>
        </w:rPr>
        <w:t xml:space="preserve"> </w:t>
      </w:r>
      <w:r>
        <w:t xml:space="preserve">км. В област Пловдив има 20 по-големи общини и 212 населени места. Делът на населението в трудоспособна възраст е относително висок, но въпреки че равнището на безработица е значително по-благоприятно от средното за страната, равнището на заетост изостава. Инвестициите и стопанската дейност </w:t>
      </w:r>
      <w:r w:rsidR="009D4CC1">
        <w:rPr>
          <w:lang w:val="bg-BG"/>
        </w:rPr>
        <w:t>отбелязват</w:t>
      </w:r>
      <w:r>
        <w:t xml:space="preserve"> значителен ръст. Инфраструктурното развитие в областта може да бъде оценено като много добро. </w:t>
      </w:r>
    </w:p>
    <w:p w:rsidR="006F1A4C" w:rsidRDefault="00330EEB">
      <w:pPr>
        <w:pStyle w:val="P68B1DB1-Normal5"/>
        <w:tabs>
          <w:tab w:val="left" w:pos="2161"/>
          <w:tab w:val="left" w:leader="dot" w:pos="9072"/>
        </w:tabs>
        <w:spacing w:before="120" w:after="120" w:line="276" w:lineRule="auto"/>
        <w:ind w:firstLine="567"/>
        <w:jc w:val="both"/>
      </w:pPr>
      <w:r>
        <w:t xml:space="preserve">На фона на общата тенденция към застаряване на населението в страната, Пловдив се представя сравнително добре. Коефициентите на възрастова зависимост са благоприятни. Делът на горските площи е равен на средния за страната, но този на </w:t>
      </w:r>
      <w:r w:rsidR="009D4CC1">
        <w:rPr>
          <w:lang w:val="bg-BG"/>
        </w:rPr>
        <w:t>необработваемата</w:t>
      </w:r>
      <w:r>
        <w:t xml:space="preserve"> земя е значително по-нисък. Относително голям дял от населението на областта живее в градските райони, а през 2021 г. достига 75,1 %, в сравнение с 73,1 % в страната. Пловдив се нарежда на трето място след столицата и Сливен по гъстота на населението в населените места </w:t>
      </w:r>
      <w:r w:rsidR="003E7EA7">
        <w:t>-</w:t>
      </w:r>
      <w:r>
        <w:t xml:space="preserve"> 2</w:t>
      </w:r>
      <w:r w:rsidR="00021938">
        <w:rPr>
          <w:lang w:val="bg-BG"/>
        </w:rPr>
        <w:t xml:space="preserve"> </w:t>
      </w:r>
      <w:r>
        <w:t>490 души/кв.</w:t>
      </w:r>
      <w:r w:rsidR="00021938">
        <w:rPr>
          <w:lang w:val="bg-BG"/>
        </w:rPr>
        <w:t xml:space="preserve"> </w:t>
      </w:r>
      <w:r>
        <w:t>км, а за страната е 1</w:t>
      </w:r>
      <w:r w:rsidR="00021938">
        <w:rPr>
          <w:lang w:val="bg-BG"/>
        </w:rPr>
        <w:t xml:space="preserve"> </w:t>
      </w:r>
      <w:r>
        <w:t>489 души/кв.</w:t>
      </w:r>
      <w:r w:rsidR="00A07497">
        <w:rPr>
          <w:lang w:val="bg-BG"/>
        </w:rPr>
        <w:t xml:space="preserve"> </w:t>
      </w:r>
      <w:r>
        <w:t>км.</w:t>
      </w:r>
    </w:p>
    <w:p w:rsidR="006F1A4C" w:rsidRDefault="00330EEB">
      <w:pPr>
        <w:pStyle w:val="P68B1DB1-Normal5"/>
        <w:tabs>
          <w:tab w:val="left" w:pos="2161"/>
          <w:tab w:val="left" w:leader="dot" w:pos="9072"/>
        </w:tabs>
        <w:spacing w:before="120" w:after="120" w:line="276" w:lineRule="auto"/>
        <w:ind w:firstLine="567"/>
        <w:jc w:val="both"/>
      </w:pPr>
      <w:r>
        <w:t xml:space="preserve">Относителният дял на домакинствата с достъп до интернет се е увеличил през 2021 г. и е останал над средния за цялата страна </w:t>
      </w:r>
      <w:r w:rsidR="003E7EA7">
        <w:t>-</w:t>
      </w:r>
      <w:r w:rsidR="009D4CC1">
        <w:t xml:space="preserve"> 88,9 % спрямо 83,5 %</w:t>
      </w:r>
      <w:r>
        <w:t>.</w:t>
      </w:r>
    </w:p>
    <w:p w:rsidR="006F1A4C" w:rsidRDefault="00330EEB">
      <w:pPr>
        <w:pStyle w:val="P68B1DB1-Normal5"/>
        <w:tabs>
          <w:tab w:val="left" w:pos="2161"/>
          <w:tab w:val="left" w:leader="dot" w:pos="9072"/>
        </w:tabs>
        <w:spacing w:before="120" w:after="120" w:line="276" w:lineRule="auto"/>
        <w:ind w:firstLine="567"/>
        <w:jc w:val="both"/>
      </w:pPr>
      <w:r>
        <w:t xml:space="preserve">В област Пазарджик има 11 по-големи общини и 118 населени места. Територията на </w:t>
      </w:r>
      <w:r w:rsidR="001D635C">
        <w:t>района</w:t>
      </w:r>
      <w:r>
        <w:t xml:space="preserve"> е 4</w:t>
      </w:r>
      <w:r w:rsidR="00A07497">
        <w:rPr>
          <w:lang w:val="bg-BG"/>
        </w:rPr>
        <w:t xml:space="preserve"> </w:t>
      </w:r>
      <w:r>
        <w:t>557 кв.</w:t>
      </w:r>
      <w:r w:rsidR="00021938">
        <w:rPr>
          <w:lang w:val="bg-BG"/>
        </w:rPr>
        <w:t xml:space="preserve"> </w:t>
      </w:r>
      <w:r>
        <w:t>км. Към 31 декември 2022 г. населението на област Пазарджик е 226</w:t>
      </w:r>
      <w:r w:rsidR="00A07497">
        <w:rPr>
          <w:lang w:val="bg-BG"/>
        </w:rPr>
        <w:t xml:space="preserve"> </w:t>
      </w:r>
      <w:r>
        <w:t>209 души, което представлява 3,5 % от населението на България и заема 8-мо място по население след София (столица), Пловдив, Варна, Бургас, Стара Загора, Благоевград и София (област). В сравнение с 2021 г. населението на областта е намаляло с 1416 души, или с 0,6 % (през 2021 г. е 227</w:t>
      </w:r>
      <w:r w:rsidR="00A07497">
        <w:rPr>
          <w:lang w:val="bg-BG"/>
        </w:rPr>
        <w:t xml:space="preserve"> </w:t>
      </w:r>
      <w:r>
        <w:t>625).</w:t>
      </w:r>
    </w:p>
    <w:p w:rsidR="006F1A4C" w:rsidRDefault="00330EEB">
      <w:pPr>
        <w:pStyle w:val="P68B1DB1-Normal5"/>
        <w:tabs>
          <w:tab w:val="left" w:pos="2161"/>
          <w:tab w:val="left" w:leader="dot" w:pos="9072"/>
        </w:tabs>
        <w:spacing w:before="120" w:after="120" w:line="276" w:lineRule="auto"/>
        <w:ind w:firstLine="567"/>
        <w:jc w:val="both"/>
      </w:pPr>
      <w:r>
        <w:t xml:space="preserve">БВП, заплатите и пенсиите в област Пазарджик продължават да растат, но остават сравнително ниски. През 2022 г. беше отбелязано значително увеличение на равнището на заетост, докато равнището на безработица остана стабилно. Образователният профил на работната сила остава предизвикателство за местния пазар на труда. Инвестициите и стопанската дейност в областта не са особено бързи. </w:t>
      </w:r>
    </w:p>
    <w:p w:rsidR="006F1A4C" w:rsidRDefault="00330EEB">
      <w:pPr>
        <w:pStyle w:val="P68B1DB1-Normal5"/>
        <w:tabs>
          <w:tab w:val="left" w:pos="2161"/>
          <w:tab w:val="left" w:leader="dot" w:pos="9072"/>
        </w:tabs>
        <w:spacing w:before="120" w:after="120" w:line="276" w:lineRule="auto"/>
        <w:ind w:firstLine="567"/>
        <w:jc w:val="both"/>
      </w:pPr>
      <w:r>
        <w:t xml:space="preserve">През 2021 г. </w:t>
      </w:r>
      <w:r w:rsidR="00BE391A">
        <w:t>естественият прираст</w:t>
      </w:r>
      <w:r>
        <w:t xml:space="preserve"> на населението намаля значително за втора поредна година, достигайки </w:t>
      </w:r>
      <w:r w:rsidR="00BC3BA6">
        <w:rPr>
          <w:lang w:val="bg-BG"/>
        </w:rPr>
        <w:t xml:space="preserve">- </w:t>
      </w:r>
      <w:r>
        <w:t xml:space="preserve">14.0, като по този начин </w:t>
      </w:r>
      <w:r w:rsidR="00BC3BA6">
        <w:rPr>
          <w:lang w:val="bg-BG"/>
        </w:rPr>
        <w:t>застава</w:t>
      </w:r>
      <w:r>
        <w:t xml:space="preserve"> под националната цифра от </w:t>
      </w:r>
      <w:r w:rsidR="00BC3BA6">
        <w:rPr>
          <w:lang w:val="bg-BG"/>
        </w:rPr>
        <w:t>-</w:t>
      </w:r>
      <w:r>
        <w:t xml:space="preserve">13,2. В същото време Пазарджик не успява да привлече нови жители, а нетната имиграция също е отрицателна при –1.8. Градското население в област Пазарджик остава сравнително ниско </w:t>
      </w:r>
      <w:r w:rsidR="003E7EA7">
        <w:t>-</w:t>
      </w:r>
      <w:r>
        <w:t xml:space="preserve"> 62,7 %, при 73,1 % за страната, докато средната гъстота на населението, живеещо в населени места, е сравнително висока </w:t>
      </w:r>
      <w:r w:rsidR="003E7EA7">
        <w:t>-</w:t>
      </w:r>
      <w:r>
        <w:t xml:space="preserve"> 2041 души/</w:t>
      </w:r>
      <w:proofErr w:type="spellStart"/>
      <w:r>
        <w:t>кв.км</w:t>
      </w:r>
      <w:proofErr w:type="spellEnd"/>
      <w:r>
        <w:t>, при 1</w:t>
      </w:r>
      <w:r w:rsidR="00BC3BA6">
        <w:rPr>
          <w:lang w:val="bg-BG"/>
        </w:rPr>
        <w:t xml:space="preserve"> </w:t>
      </w:r>
      <w:r>
        <w:t>489 души/кв.</w:t>
      </w:r>
      <w:r w:rsidR="00BC3BA6">
        <w:rPr>
          <w:lang w:val="bg-BG"/>
        </w:rPr>
        <w:t xml:space="preserve"> </w:t>
      </w:r>
      <w:r>
        <w:t xml:space="preserve">км средно за страната. През 2019 г. достъпът на населението до интернет продължава да нараства бързо и остава над средното за страната </w:t>
      </w:r>
      <w:r w:rsidR="003E7EA7">
        <w:t>-</w:t>
      </w:r>
      <w:r>
        <w:t xml:space="preserve"> 85,1 % в областта, спрямо 83,5 % за страната.</w:t>
      </w:r>
    </w:p>
    <w:p w:rsidR="006F1A4C" w:rsidRDefault="00330EEB">
      <w:pPr>
        <w:pStyle w:val="P68B1DB1-Normal5"/>
        <w:tabs>
          <w:tab w:val="left" w:pos="2161"/>
          <w:tab w:val="left" w:leader="dot" w:pos="9072"/>
        </w:tabs>
        <w:spacing w:before="120" w:after="120" w:line="276" w:lineRule="auto"/>
        <w:ind w:firstLine="567"/>
        <w:jc w:val="both"/>
      </w:pPr>
      <w:r>
        <w:t xml:space="preserve">В област Кърджали има 7 по-големи общини и 468 населени места. Територията на </w:t>
      </w:r>
      <w:r w:rsidR="001D635C">
        <w:t>района</w:t>
      </w:r>
      <w:r>
        <w:t xml:space="preserve"> е 3209 кв.</w:t>
      </w:r>
      <w:r w:rsidR="00BC3BA6">
        <w:rPr>
          <w:lang w:val="bg-BG"/>
        </w:rPr>
        <w:t xml:space="preserve"> </w:t>
      </w:r>
      <w:r>
        <w:t>км. Населението на област Кърджали към 7 септември 2021 г. е 141</w:t>
      </w:r>
      <w:r w:rsidR="00BC3BA6">
        <w:rPr>
          <w:lang w:val="bg-BG"/>
        </w:rPr>
        <w:t xml:space="preserve"> </w:t>
      </w:r>
      <w:r>
        <w:t xml:space="preserve">177 души. Заплатите и доходите в област Кърджали нарастват значително, въпреки че равнищата им все още са под съответните средни стойности за страната. Икономическата активност и равнището на заетост са отбелязали известен растеж, въпреки че остават под средните за страната. Инвестициите и стопанската дейност отново остават ограничени. </w:t>
      </w:r>
    </w:p>
    <w:p w:rsidR="006F1A4C" w:rsidRDefault="00330EEB">
      <w:pPr>
        <w:pStyle w:val="P68B1DB1-Normal5"/>
        <w:tabs>
          <w:tab w:val="left" w:pos="2161"/>
          <w:tab w:val="left" w:leader="dot" w:pos="9072"/>
        </w:tabs>
        <w:spacing w:before="120" w:after="120" w:line="276" w:lineRule="auto"/>
        <w:ind w:firstLine="567"/>
        <w:jc w:val="both"/>
      </w:pPr>
      <w:r>
        <w:t xml:space="preserve">През 2021 г. естественият прираст на населението в област Кърджали продължава да намалява значително, въпреки че при </w:t>
      </w:r>
      <w:r w:rsidR="008361A4">
        <w:rPr>
          <w:lang w:val="bg-BG"/>
        </w:rPr>
        <w:t>-</w:t>
      </w:r>
      <w:r w:rsidR="00814561">
        <w:rPr>
          <w:lang w:val="bg-BG"/>
        </w:rPr>
        <w:t xml:space="preserve"> </w:t>
      </w:r>
      <w:r>
        <w:t xml:space="preserve">11.1 </w:t>
      </w:r>
      <w:r w:rsidR="00477BAA" w:rsidRPr="00477BAA">
        <w:t>‰</w:t>
      </w:r>
      <w:r>
        <w:t xml:space="preserve">. отново е по-висок от средния за страната от </w:t>
      </w:r>
      <w:r w:rsidR="00814561">
        <w:rPr>
          <w:lang w:val="bg-BG"/>
        </w:rPr>
        <w:t xml:space="preserve">- </w:t>
      </w:r>
      <w:r>
        <w:t xml:space="preserve">13,2 </w:t>
      </w:r>
      <w:r w:rsidR="005A3799">
        <w:t>‰</w:t>
      </w:r>
      <w:r w:rsidR="00477BAA">
        <w:rPr>
          <w:lang w:val="bg-BG"/>
        </w:rPr>
        <w:t>.</w:t>
      </w:r>
      <w:r>
        <w:t xml:space="preserve"> Районът продължава да привлича нови жители, а нетната имиграция от 12.06</w:t>
      </w:r>
      <w:r w:rsidR="00814561">
        <w:rPr>
          <w:lang w:val="bg-BG"/>
        </w:rPr>
        <w:t xml:space="preserve"> </w:t>
      </w:r>
      <w:r w:rsidR="00814561" w:rsidRPr="00814561">
        <w:t>‰</w:t>
      </w:r>
      <w:r>
        <w:t xml:space="preserve"> е най-високата в страната. Делът на домакинствата с достъп до интернет в областта продължава да нараства през 2021 г. и дори надвишава средния за страната. </w:t>
      </w:r>
    </w:p>
    <w:p w:rsidR="006F1A4C" w:rsidRDefault="00330EEB">
      <w:pPr>
        <w:pStyle w:val="P68B1DB1-Normal5"/>
        <w:tabs>
          <w:tab w:val="left" w:pos="2161"/>
          <w:tab w:val="left" w:leader="dot" w:pos="9072"/>
        </w:tabs>
        <w:spacing w:before="120" w:after="120" w:line="276" w:lineRule="auto"/>
        <w:ind w:firstLine="567"/>
        <w:jc w:val="both"/>
      </w:pPr>
      <w:r>
        <w:t xml:space="preserve">В област Хасково има 11 по-големи общини и 261 населени места. Територията на </w:t>
      </w:r>
      <w:r w:rsidR="001D635C">
        <w:t>района</w:t>
      </w:r>
      <w:r>
        <w:t xml:space="preserve"> е 5</w:t>
      </w:r>
      <w:r w:rsidR="008361A4">
        <w:rPr>
          <w:lang w:val="bg-BG"/>
        </w:rPr>
        <w:t xml:space="preserve"> </w:t>
      </w:r>
      <w:r>
        <w:t>533 кв.</w:t>
      </w:r>
      <w:r w:rsidR="00814561">
        <w:rPr>
          <w:lang w:val="bg-BG"/>
        </w:rPr>
        <w:t xml:space="preserve"> </w:t>
      </w:r>
      <w:r>
        <w:t xml:space="preserve">км. Към 31.12.2023 г. населението на област Хасково е 207114 души. В сравнение с 2022 г. населението намалява с 325 души, или с 0,2 % през 2021 г., както естественият прираст на населението, така и нетният темп на миграция в област Хасково отчитат спад. </w:t>
      </w:r>
      <w:r w:rsidR="00BE391A">
        <w:t>Естественият прираст</w:t>
      </w:r>
      <w:r>
        <w:t xml:space="preserve"> на населението спада до </w:t>
      </w:r>
      <w:r w:rsidR="008361A4">
        <w:rPr>
          <w:lang w:val="bg-BG"/>
        </w:rPr>
        <w:t>-</w:t>
      </w:r>
      <w:r>
        <w:t xml:space="preserve"> 15,5, в сравнение с –</w:t>
      </w:r>
      <w:r w:rsidR="008361A4">
        <w:rPr>
          <w:lang w:val="bg-BG"/>
        </w:rPr>
        <w:t xml:space="preserve"> </w:t>
      </w:r>
      <w:r>
        <w:t xml:space="preserve">13.2 в национален мащаб. Нетният процент на миграция спадна, но остана положителен на ниво от 0,43. Делът на хората, живеещи в градовете, е сравним със средния за страната </w:t>
      </w:r>
      <w:r w:rsidR="008361A4">
        <w:rPr>
          <w:lang w:val="bg-BG"/>
        </w:rPr>
        <w:t>-</w:t>
      </w:r>
      <w:r>
        <w:t xml:space="preserve"> 71,7 % спрямо 73,1 % за страната. В същото време гъстотата на населението е сравнително ниска </w:t>
      </w:r>
      <w:r w:rsidR="008361A4">
        <w:rPr>
          <w:lang w:val="bg-BG"/>
        </w:rPr>
        <w:t>–</w:t>
      </w:r>
      <w:r>
        <w:t xml:space="preserve"> 1</w:t>
      </w:r>
      <w:r w:rsidR="008361A4">
        <w:rPr>
          <w:lang w:val="bg-BG"/>
        </w:rPr>
        <w:t xml:space="preserve"> </w:t>
      </w:r>
      <w:r>
        <w:t>027 души/кв.</w:t>
      </w:r>
      <w:r w:rsidR="008361A4">
        <w:rPr>
          <w:lang w:val="bg-BG"/>
        </w:rPr>
        <w:t xml:space="preserve"> </w:t>
      </w:r>
      <w:r>
        <w:t>км, в сравнение с 1</w:t>
      </w:r>
      <w:r w:rsidR="008361A4">
        <w:rPr>
          <w:lang w:val="bg-BG"/>
        </w:rPr>
        <w:t xml:space="preserve"> </w:t>
      </w:r>
      <w:r>
        <w:t>489 души/кв.</w:t>
      </w:r>
      <w:r w:rsidR="008361A4">
        <w:rPr>
          <w:lang w:val="bg-BG"/>
        </w:rPr>
        <w:t xml:space="preserve"> </w:t>
      </w:r>
      <w:r>
        <w:t>км за страната.</w:t>
      </w:r>
    </w:p>
    <w:p w:rsidR="006F1A4C" w:rsidRDefault="00330EEB">
      <w:pPr>
        <w:pStyle w:val="P68B1DB1-Normal5"/>
        <w:tabs>
          <w:tab w:val="left" w:pos="2161"/>
          <w:tab w:val="left" w:leader="dot" w:pos="9072"/>
        </w:tabs>
        <w:spacing w:before="120" w:after="120" w:line="276" w:lineRule="auto"/>
        <w:ind w:firstLine="567"/>
        <w:jc w:val="both"/>
      </w:pPr>
      <w:r>
        <w:t xml:space="preserve">Както стойността, така и темпът на растеж на БВП на глава от населението в област Хасково са ниски. Бедността намалява, но все още е сравнително висока. Заетостта и безработицата се увеличават. Инвестиционната активност в областта остава слаба. Достъпът на домакинствата до интернет се подобри през 2021 г., достигайки 81,1 % в областта, спрямо 83,5 % в страната. </w:t>
      </w:r>
    </w:p>
    <w:p w:rsidR="006F1A4C" w:rsidRDefault="00330EEB">
      <w:pPr>
        <w:pStyle w:val="P68B1DB1-Normal5"/>
        <w:tabs>
          <w:tab w:val="left" w:pos="2161"/>
          <w:tab w:val="left" w:leader="dot" w:pos="9072"/>
        </w:tabs>
        <w:spacing w:before="120" w:after="120" w:line="276" w:lineRule="auto"/>
        <w:ind w:firstLine="567"/>
        <w:jc w:val="both"/>
      </w:pPr>
      <w:r>
        <w:t>Територията на област Смолян е 3</w:t>
      </w:r>
      <w:r w:rsidR="008361A4">
        <w:rPr>
          <w:lang w:val="bg-BG"/>
        </w:rPr>
        <w:t xml:space="preserve"> </w:t>
      </w:r>
      <w:r>
        <w:t>209 кв. км. Според настоящата демографска статистика населението на област Смолян в края на 2023 г. е 92</w:t>
      </w:r>
      <w:r w:rsidR="008361A4">
        <w:rPr>
          <w:lang w:val="bg-BG"/>
        </w:rPr>
        <w:t xml:space="preserve"> </w:t>
      </w:r>
      <w:r>
        <w:t>107 души. В сравнение с предходната година населението намалява с 1</w:t>
      </w:r>
      <w:r w:rsidR="008361A4">
        <w:rPr>
          <w:lang w:val="bg-BG"/>
        </w:rPr>
        <w:t xml:space="preserve"> </w:t>
      </w:r>
      <w:r>
        <w:t>247 души, или с 1,3 % (в сравнение с 0,03 % за страна</w:t>
      </w:r>
      <w:r w:rsidR="008361A4">
        <w:t>та). Към 31 декември 2023 г. 52,</w:t>
      </w:r>
      <w:r>
        <w:t>817, или 57,3 % от населението на областта живеят в градски райони, а 39,290, или 42,7 %, живеят в селски райони. За страната процентите са съответно 73.5 и 26.5. До края на 2023 г. жителите на област Смолян живеят в 240 населени места, от които 8 са градове, а 232 са села.</w:t>
      </w:r>
    </w:p>
    <w:p w:rsidR="006F1A4C" w:rsidRDefault="00330EEB">
      <w:pPr>
        <w:pStyle w:val="P68B1DB1-Normal5"/>
        <w:tabs>
          <w:tab w:val="left" w:pos="2161"/>
          <w:tab w:val="left" w:leader="dot" w:pos="9072"/>
        </w:tabs>
        <w:spacing w:before="120" w:after="120" w:line="276" w:lineRule="auto"/>
        <w:ind w:firstLine="567"/>
        <w:jc w:val="both"/>
      </w:pPr>
      <w:r>
        <w:t xml:space="preserve">БВП, заплатите и пенсиите в област Смолян продължават да нарастват. Нивото на бедност е над средното. Заетостта и безработицата нарастват, като и двата показателя остават относително неблагоприятни. Бизнесът и инвестиционната дейност показват известно подобрение. </w:t>
      </w:r>
    </w:p>
    <w:p w:rsidR="006F1A4C" w:rsidRDefault="00330EEB">
      <w:pPr>
        <w:pStyle w:val="P68B1DB1-Normal5"/>
        <w:tabs>
          <w:tab w:val="left" w:pos="2161"/>
          <w:tab w:val="left" w:leader="dot" w:pos="9072"/>
        </w:tabs>
        <w:spacing w:before="120" w:after="120" w:line="276" w:lineRule="auto"/>
        <w:ind w:firstLine="567"/>
        <w:jc w:val="both"/>
      </w:pPr>
      <w:r>
        <w:t xml:space="preserve">Населението на областта е сред най-бързо застаряващите в страната. Районът също се нарежда на първо място с най-висок дял на горските площи и най-нисък дял на </w:t>
      </w:r>
      <w:r w:rsidR="00C16659">
        <w:rPr>
          <w:lang w:val="bg-BG"/>
        </w:rPr>
        <w:t>необработваема</w:t>
      </w:r>
      <w:r>
        <w:t xml:space="preserve"> земя. </w:t>
      </w:r>
    </w:p>
    <w:p w:rsidR="006F1A4C" w:rsidRDefault="00330EEB">
      <w:pPr>
        <w:pStyle w:val="P68B1DB1-Normal5"/>
        <w:tabs>
          <w:tab w:val="left" w:pos="2161"/>
          <w:tab w:val="left" w:leader="dot" w:pos="9072"/>
        </w:tabs>
        <w:spacing w:before="120" w:after="120" w:line="276" w:lineRule="auto"/>
        <w:ind w:firstLine="567"/>
        <w:jc w:val="both"/>
      </w:pPr>
      <w:r>
        <w:t xml:space="preserve">Градското население в областта е сравнително ниско </w:t>
      </w:r>
      <w:r w:rsidR="003E7EA7">
        <w:t>-</w:t>
      </w:r>
      <w:r>
        <w:t xml:space="preserve"> 56,9 %, при 73,1 % за страната. В същото време гъстотата на населението остава сравнително висока </w:t>
      </w:r>
      <w:r w:rsidR="003E7EA7">
        <w:t>-</w:t>
      </w:r>
      <w:r>
        <w:t xml:space="preserve"> 1</w:t>
      </w:r>
      <w:r w:rsidR="00C16659">
        <w:rPr>
          <w:lang w:val="bg-BG"/>
        </w:rPr>
        <w:t xml:space="preserve"> </w:t>
      </w:r>
      <w:r>
        <w:t>717 души/кв.</w:t>
      </w:r>
      <w:r w:rsidR="00C16659">
        <w:rPr>
          <w:lang w:val="bg-BG"/>
        </w:rPr>
        <w:t xml:space="preserve"> </w:t>
      </w:r>
      <w:r>
        <w:t>км, в сравнение с 1</w:t>
      </w:r>
      <w:r w:rsidR="00C16659">
        <w:rPr>
          <w:lang w:val="bg-BG"/>
        </w:rPr>
        <w:t xml:space="preserve"> </w:t>
      </w:r>
      <w:r>
        <w:t>489 души/кв.</w:t>
      </w:r>
      <w:r w:rsidR="00C16659">
        <w:rPr>
          <w:lang w:val="bg-BG"/>
        </w:rPr>
        <w:t xml:space="preserve"> </w:t>
      </w:r>
      <w:r>
        <w:t xml:space="preserve">км в страната. Достъпът на домакинствата до интернет е отбелязал увеличение, но през 2021 г. отново е по-нисък от средния за страната </w:t>
      </w:r>
      <w:r w:rsidR="003E7EA7">
        <w:t>-</w:t>
      </w:r>
      <w:r>
        <w:t xml:space="preserve"> 73,6 % в областта, спрямо 83,5 % в страната. </w:t>
      </w:r>
    </w:p>
    <w:p w:rsidR="006F1A4C" w:rsidRDefault="00330EEB">
      <w:pPr>
        <w:pStyle w:val="P68B1DB1-Normal5"/>
        <w:tabs>
          <w:tab w:val="left" w:pos="2161"/>
          <w:tab w:val="left" w:leader="dot" w:pos="9072"/>
        </w:tabs>
        <w:spacing w:before="120" w:after="120" w:line="276" w:lineRule="auto"/>
        <w:ind w:firstLine="567"/>
        <w:jc w:val="both"/>
      </w:pPr>
      <w:r>
        <w:rPr>
          <w:b/>
        </w:rPr>
        <w:t>Югоизточен район</w:t>
      </w:r>
      <w:r>
        <w:t xml:space="preserve"> включва областите Бургас, Стара Загора, Сливен и Ямбол. Югоизточен регион се формира от благоприятното географско положение и природни условия, позволяващи развитието на туризма, морския транспорт и селското стопанство, както и от относително по-резервираните демографски ресурси в сравнение с други региони на България. Районът е с площ от 14 645,1 km², или 13,2 % от територията на страната. Около 10 % от населението на България живее там. Населението на региона към 2023 г. е 1302828, като 871829 живеят в градски райони и 431000 в селските райони. Заселническата мрежа в региона се състои от 486 населени места/26 града и 460 села/.</w:t>
      </w:r>
    </w:p>
    <w:p w:rsidR="006F1A4C" w:rsidRDefault="00330EEB">
      <w:pPr>
        <w:pStyle w:val="P68B1DB1-Normal5"/>
        <w:tabs>
          <w:tab w:val="left" w:pos="2161"/>
          <w:tab w:val="left" w:leader="dot" w:pos="9072"/>
        </w:tabs>
        <w:spacing w:before="120" w:after="120" w:line="276" w:lineRule="auto"/>
        <w:ind w:firstLine="567"/>
        <w:jc w:val="both"/>
      </w:pPr>
      <w:r>
        <w:t>Бургаската област е разделена на 14 по-големи общини и 250 населени места. Територията на областта е 7</w:t>
      </w:r>
      <w:r w:rsidR="00090DF4">
        <w:rPr>
          <w:lang w:val="bg-BG"/>
        </w:rPr>
        <w:t xml:space="preserve"> </w:t>
      </w:r>
      <w:r>
        <w:t>748 кв. км. Към 31 декември 2023 г. населението на област Бургас е 384</w:t>
      </w:r>
      <w:r w:rsidR="00090DF4">
        <w:rPr>
          <w:lang w:val="bg-BG"/>
        </w:rPr>
        <w:t xml:space="preserve"> </w:t>
      </w:r>
      <w:r>
        <w:t>446 души, което представлява 6,0 % от населението на страната и се нарежда на 4-то място по население след София (столица), Пловдив и Варна. В сравнение с 2022 г. населението на областта ще се увеличи с 5</w:t>
      </w:r>
      <w:r w:rsidR="00090DF4">
        <w:rPr>
          <w:lang w:val="bg-BG"/>
        </w:rPr>
        <w:t xml:space="preserve"> </w:t>
      </w:r>
      <w:r>
        <w:t>850 души или с 1,5 %.</w:t>
      </w:r>
    </w:p>
    <w:p w:rsidR="006F1A4C" w:rsidRDefault="00330EEB">
      <w:pPr>
        <w:pStyle w:val="P68B1DB1-Normal5"/>
        <w:tabs>
          <w:tab w:val="left" w:pos="2161"/>
          <w:tab w:val="left" w:leader="dot" w:pos="9072"/>
        </w:tabs>
        <w:spacing w:before="120" w:after="120" w:line="276" w:lineRule="auto"/>
        <w:ind w:firstLine="567"/>
        <w:jc w:val="both"/>
      </w:pPr>
      <w:r>
        <w:t xml:space="preserve">БВП на глава от населението в област Бургас отбеляза значително увеличение през 2021 г. Равнищата на неравенство в доходите и бедност остават относително ниски. През 2022 г. заетостта се увеличи, а безработицата спадна. Инвестиционната и бизнес активност в област Бургас отново е сред най-високите в страната. Демографските показатели поставят Бургаската област сред първите четири в страната. Демографските показатели поставят Бургаската област сред първите три в страната, след София (столица) и Варна. Темпът на естествен прираст на населението все още е отрицателен и продължава да намалява, но през 2021 г. той все още е сред най-високите в страната, докато средната стойност за страната е </w:t>
      </w:r>
      <w:r w:rsidR="003E7EA7">
        <w:t>-</w:t>
      </w:r>
      <w:r>
        <w:t xml:space="preserve"> 13,2. Бургаската област продължава да привлича и нови жители, като нетният темп на миграция достига 7.44, което е второто най-високо в страната. Това се отразява и на коефициентите на възрастова зависимост в областта. Делът на домакинствата с интернет свързаност се е увеличил до 82,9 %, при 83,5 % за страната.</w:t>
      </w:r>
    </w:p>
    <w:p w:rsidR="006F1A4C" w:rsidRDefault="00330EEB">
      <w:pPr>
        <w:pStyle w:val="P68B1DB1-Normal5"/>
        <w:tabs>
          <w:tab w:val="left" w:pos="2161"/>
          <w:tab w:val="left" w:leader="dot" w:pos="9072"/>
        </w:tabs>
        <w:spacing w:before="120" w:after="120" w:line="276" w:lineRule="auto"/>
        <w:ind w:firstLine="567"/>
        <w:jc w:val="both"/>
      </w:pPr>
      <w:r>
        <w:t>Територията на област Стара Загора е 5</w:t>
      </w:r>
      <w:r w:rsidR="00090DF4">
        <w:rPr>
          <w:lang w:val="bg-BG"/>
        </w:rPr>
        <w:t xml:space="preserve"> </w:t>
      </w:r>
      <w:r>
        <w:t>151 кв. км. В област Стара Загора има 11 по-големи общини и 206 населени места. С 291</w:t>
      </w:r>
      <w:r w:rsidR="00090DF4">
        <w:rPr>
          <w:lang w:val="bg-BG"/>
        </w:rPr>
        <w:t xml:space="preserve"> </w:t>
      </w:r>
      <w:r>
        <w:t xml:space="preserve">852 жители, по данни на Националния статистически институт от последното преброяване, област Стара Загора се нарежда на пето място в страната по население, което я прави една от най-големите области в страната. Около 70 % от населението живее в градовете, въпреки че селата не са обезлюдени и </w:t>
      </w:r>
      <w:r w:rsidR="00184DB4">
        <w:rPr>
          <w:lang w:val="bg-BG"/>
        </w:rPr>
        <w:t>имат</w:t>
      </w:r>
      <w:r>
        <w:t xml:space="preserve"> с до 83</w:t>
      </w:r>
      <w:r w:rsidR="00090DF4">
        <w:rPr>
          <w:lang w:val="bg-BG"/>
        </w:rPr>
        <w:t xml:space="preserve"> </w:t>
      </w:r>
      <w:r>
        <w:t xml:space="preserve">898 жители, които са дори повече от жителите на най-малката област в страната </w:t>
      </w:r>
      <w:r w:rsidR="00090DF4">
        <w:rPr>
          <w:lang w:val="bg-BG"/>
        </w:rPr>
        <w:t>-</w:t>
      </w:r>
      <w:r>
        <w:t xml:space="preserve"> Видин. Въпреки малкия брой жители в селата, повече от 50 % от населението живее в областния център и в най-големия град в област Стара Загора извън Стара Загора. Стара Загора е петата по големина област в страната не само по население, но и по площ.</w:t>
      </w:r>
    </w:p>
    <w:p w:rsidR="006F1A4C" w:rsidRDefault="00330EEB">
      <w:pPr>
        <w:pStyle w:val="P68B1DB1-Normal5"/>
        <w:tabs>
          <w:tab w:val="left" w:pos="2161"/>
          <w:tab w:val="left" w:leader="dot" w:pos="9072"/>
        </w:tabs>
        <w:spacing w:before="120" w:after="120" w:line="276" w:lineRule="auto"/>
        <w:ind w:firstLine="567"/>
        <w:jc w:val="both"/>
      </w:pPr>
      <w:r>
        <w:t>БВП на глава от населението в областта е нараснал значително</w:t>
      </w:r>
      <w:r w:rsidR="00184DB4">
        <w:rPr>
          <w:lang w:val="bg-BG"/>
        </w:rPr>
        <w:t xml:space="preserve"> и </w:t>
      </w:r>
      <w:r>
        <w:t xml:space="preserve">Стара Загора се нарежда на второ място по този показател. Представянето на местния пазар на труда е сравнително добро. Данните за инвестиционната и бизнес активност поставят областта сред лидерите на страната. </w:t>
      </w:r>
    </w:p>
    <w:p w:rsidR="006F1A4C" w:rsidRDefault="00184DB4">
      <w:pPr>
        <w:pStyle w:val="P68B1DB1-Normal5"/>
        <w:tabs>
          <w:tab w:val="left" w:pos="2161"/>
          <w:tab w:val="left" w:leader="dot" w:pos="9072"/>
        </w:tabs>
        <w:spacing w:before="120" w:after="120" w:line="276" w:lineRule="auto"/>
        <w:ind w:firstLine="567"/>
        <w:jc w:val="both"/>
      </w:pPr>
      <w:r>
        <w:rPr>
          <w:lang w:val="bg-BG"/>
        </w:rPr>
        <w:t>Естественият прираст</w:t>
      </w:r>
      <w:r w:rsidR="00330EEB">
        <w:t xml:space="preserve"> на населението в Стара Загора остава под средното за страната. Достъпът на домакинствата до интернет се увеличава, но той остава под средния за страната </w:t>
      </w:r>
      <w:r w:rsidR="003E7EA7">
        <w:t>-</w:t>
      </w:r>
      <w:r w:rsidR="00330EEB">
        <w:t xml:space="preserve"> 78,8 %, спрямо 83,5 % в страната.</w:t>
      </w:r>
    </w:p>
    <w:p w:rsidR="006F1A4C" w:rsidRDefault="00330EEB">
      <w:pPr>
        <w:pStyle w:val="P68B1DB1-Normal5"/>
        <w:tabs>
          <w:tab w:val="left" w:pos="2161"/>
          <w:tab w:val="left" w:leader="dot" w:pos="9072"/>
        </w:tabs>
        <w:spacing w:before="120" w:after="120" w:line="276" w:lineRule="auto"/>
        <w:ind w:firstLine="567"/>
        <w:jc w:val="both"/>
      </w:pPr>
      <w:r>
        <w:t>В област Сливен има 4 по-големи общини и 110 населени места. Територията на областта е 3</w:t>
      </w:r>
      <w:r w:rsidR="002272D4">
        <w:rPr>
          <w:lang w:val="bg-BG"/>
        </w:rPr>
        <w:t xml:space="preserve"> </w:t>
      </w:r>
      <w:r>
        <w:t>544 кв. км. Населението на област Сливен към 31.12.2023 г. е 170</w:t>
      </w:r>
      <w:r w:rsidR="002272D4">
        <w:rPr>
          <w:lang w:val="bg-BG"/>
        </w:rPr>
        <w:t xml:space="preserve"> </w:t>
      </w:r>
      <w:r>
        <w:t xml:space="preserve">051 души или 2,6 % от населението на страната и се нарежда на 13-о място по население </w:t>
      </w:r>
      <w:r w:rsidR="00883902">
        <w:rPr>
          <w:lang w:val="bg-BG"/>
        </w:rPr>
        <w:t>-</w:t>
      </w:r>
      <w:r>
        <w:t>непосредствено след област Русе (187830 души) и преди Шумен (149699 души). Низходящата тенденция се запазва и в сравнение с предходната 2022 г. населението намалява с 532 души или с 0,3 %.</w:t>
      </w:r>
    </w:p>
    <w:p w:rsidR="006F1A4C" w:rsidRDefault="00330EEB">
      <w:pPr>
        <w:pStyle w:val="P68B1DB1-Normal5"/>
        <w:tabs>
          <w:tab w:val="left" w:pos="2161"/>
          <w:tab w:val="left" w:leader="dot" w:pos="9072"/>
        </w:tabs>
        <w:spacing w:before="120" w:after="120" w:line="276" w:lineRule="auto"/>
        <w:ind w:firstLine="567"/>
        <w:jc w:val="both"/>
      </w:pPr>
      <w:r>
        <w:t xml:space="preserve">Въпреки че БВП на глава от населението в област Сливен нараства, той е сред най-ниските в страната. Свиването на икономическата активност е придружено от намаляване както на заетостта, така и на безработицата. Пазарът на труда продължава да е изправен пред предизвикателството на образователната структура на работната сила. Инвестиционната дейност е изключително слаба. </w:t>
      </w:r>
      <w:r w:rsidR="00184DB4">
        <w:rPr>
          <w:lang w:val="bg-BG"/>
        </w:rPr>
        <w:t>Благоприятните демографски</w:t>
      </w:r>
      <w:r>
        <w:t xml:space="preserve"> условия в областта </w:t>
      </w:r>
      <w:r w:rsidR="00184DB4">
        <w:rPr>
          <w:lang w:val="bg-BG"/>
        </w:rPr>
        <w:t>я</w:t>
      </w:r>
      <w:r>
        <w:t xml:space="preserve"> нареждат сред лидерите на страната по този показател. </w:t>
      </w:r>
    </w:p>
    <w:p w:rsidR="006F1A4C" w:rsidRDefault="00330EEB">
      <w:pPr>
        <w:pStyle w:val="P68B1DB1-Normal5"/>
        <w:tabs>
          <w:tab w:val="left" w:pos="2161"/>
          <w:tab w:val="left" w:leader="dot" w:pos="9072"/>
        </w:tabs>
        <w:spacing w:before="120" w:after="120" w:line="276" w:lineRule="auto"/>
        <w:ind w:firstLine="567"/>
        <w:jc w:val="both"/>
      </w:pPr>
      <w:r>
        <w:t xml:space="preserve">През 2021 г. демографската картина на Сливен отново постави областта на водеща позиция в страната. </w:t>
      </w:r>
      <w:r w:rsidR="00BE391A">
        <w:t>Естественият прираст</w:t>
      </w:r>
      <w:r>
        <w:t xml:space="preserve"> на населението намалява, но все още остава сред най-високите в страната при -</w:t>
      </w:r>
      <w:r w:rsidR="00883902">
        <w:rPr>
          <w:lang w:val="bg-BG"/>
        </w:rPr>
        <w:t xml:space="preserve"> </w:t>
      </w:r>
      <w:r>
        <w:t>9.0 (спрямо 13,2 % за страната), докато спадът е сред най-ниските в страната. В същото време областта не е успяла да привлече нови жители и нетният процент на миграция остава отрицателен (</w:t>
      </w:r>
      <w:r w:rsidR="00883902">
        <w:rPr>
          <w:lang w:val="bg-BG"/>
        </w:rPr>
        <w:t xml:space="preserve">- </w:t>
      </w:r>
      <w:r>
        <w:t xml:space="preserve">4,8). Делът на населението, живеещо в градските райони, е относително нисък </w:t>
      </w:r>
      <w:r w:rsidR="00883902">
        <w:rPr>
          <w:lang w:val="bg-BG"/>
        </w:rPr>
        <w:t>-</w:t>
      </w:r>
      <w:r>
        <w:t xml:space="preserve"> 65,2 %, в сравнение с 73,1 % в страната, но гъстотата на населението, измерена като среден брой жители на населено място, остава на второ място в страната след това в столицата. Цифровата свързаност също е относително добра </w:t>
      </w:r>
      <w:r w:rsidR="00883902">
        <w:rPr>
          <w:lang w:val="bg-BG"/>
        </w:rPr>
        <w:t>-</w:t>
      </w:r>
      <w:r>
        <w:t xml:space="preserve"> делът на домакинствата с достъп до интернет е 83,3 % през 2021 г. спрямо 83,59 % на национално равнище. </w:t>
      </w:r>
    </w:p>
    <w:p w:rsidR="006F1A4C" w:rsidRDefault="00330EEB">
      <w:pPr>
        <w:pStyle w:val="P68B1DB1-Normal5"/>
        <w:tabs>
          <w:tab w:val="left" w:pos="2161"/>
          <w:tab w:val="left" w:leader="dot" w:pos="9072"/>
        </w:tabs>
        <w:spacing w:before="120" w:after="120" w:line="276" w:lineRule="auto"/>
        <w:ind w:firstLine="567"/>
        <w:jc w:val="both"/>
      </w:pPr>
      <w:r>
        <w:t>Територията на област Ямбол е 3</w:t>
      </w:r>
      <w:r w:rsidR="00883902">
        <w:rPr>
          <w:lang w:val="bg-BG"/>
        </w:rPr>
        <w:t xml:space="preserve"> </w:t>
      </w:r>
      <w:r>
        <w:t>555 кв.</w:t>
      </w:r>
      <w:r w:rsidR="00883902">
        <w:rPr>
          <w:lang w:val="bg-BG"/>
        </w:rPr>
        <w:t xml:space="preserve"> </w:t>
      </w:r>
      <w:r>
        <w:t>км. В област Ямбол има 4 по-големи общини и 109 населени места. Населението на област Ямбол към 31 декември 2022 г. е 107</w:t>
      </w:r>
      <w:r w:rsidR="00684D45">
        <w:rPr>
          <w:lang w:val="bg-BG"/>
        </w:rPr>
        <w:t xml:space="preserve"> </w:t>
      </w:r>
      <w:r>
        <w:t>379 души, което представлява 1,7 % от населението на страната. По население областта се нарежда на 22</w:t>
      </w:r>
      <w:r w:rsidRPr="00883902">
        <w:rPr>
          <w:vertAlign w:val="superscript"/>
        </w:rPr>
        <w:t>-ро</w:t>
      </w:r>
      <w:r>
        <w:t xml:space="preserve"> място след Кюстендилска област (108</w:t>
      </w:r>
      <w:r w:rsidR="00684D45">
        <w:rPr>
          <w:lang w:val="bg-BG"/>
        </w:rPr>
        <w:t xml:space="preserve"> </w:t>
      </w:r>
      <w:r>
        <w:t>703 души) и пред Разградска област (101</w:t>
      </w:r>
      <w:r w:rsidR="00684D45">
        <w:rPr>
          <w:lang w:val="bg-BG"/>
        </w:rPr>
        <w:t xml:space="preserve"> </w:t>
      </w:r>
      <w:r>
        <w:t xml:space="preserve">107 души). БВП в област Ямбол продължава да расте с бързи темпове. Процентът на увеличение на доходите и пенсиите също остава стабилен. Делът на населението в трудоспособна възраст в областта е един от най-ниските в страната. Инвестиционната активност остава в застой. </w:t>
      </w:r>
    </w:p>
    <w:p w:rsidR="006F1A4C" w:rsidRDefault="00330EEB">
      <w:pPr>
        <w:pStyle w:val="P68B1DB1-Normal5"/>
        <w:tabs>
          <w:tab w:val="left" w:pos="2161"/>
          <w:tab w:val="left" w:leader="dot" w:pos="9072"/>
        </w:tabs>
        <w:spacing w:before="120" w:after="120" w:line="276" w:lineRule="auto"/>
        <w:ind w:firstLine="567"/>
        <w:jc w:val="both"/>
      </w:pPr>
      <w:r>
        <w:t xml:space="preserve">Както естественият прираст на населението, така и нетният темп на миграция са неблагоприятни в област Ямбол. Равнищата на възрастова зависимост запазват нивата си, но остават относително ниски. Градското население в област Ямбол е по-ниско от това в страната </w:t>
      </w:r>
      <w:r w:rsidR="003E7EA7">
        <w:t>-</w:t>
      </w:r>
      <w:r>
        <w:t xml:space="preserve"> 69,1 %, при 73,1 % за страната, както и гъстотата на населението </w:t>
      </w:r>
      <w:r w:rsidR="003E7EA7">
        <w:t>-</w:t>
      </w:r>
      <w:r>
        <w:t xml:space="preserve"> 1</w:t>
      </w:r>
      <w:r w:rsidR="00D12D25">
        <w:rPr>
          <w:lang w:val="bg-BG"/>
        </w:rPr>
        <w:t xml:space="preserve"> </w:t>
      </w:r>
      <w:r>
        <w:t>069 души/кв.</w:t>
      </w:r>
      <w:r w:rsidR="00D12D25">
        <w:rPr>
          <w:lang w:val="bg-BG"/>
        </w:rPr>
        <w:t xml:space="preserve"> </w:t>
      </w:r>
      <w:r>
        <w:t>км, в сравнение с 1</w:t>
      </w:r>
      <w:r w:rsidR="00D12D25">
        <w:rPr>
          <w:lang w:val="bg-BG"/>
        </w:rPr>
        <w:t xml:space="preserve"> </w:t>
      </w:r>
      <w:r>
        <w:t>489 души/кв.</w:t>
      </w:r>
      <w:r w:rsidR="00D12D25">
        <w:rPr>
          <w:lang w:val="bg-BG"/>
        </w:rPr>
        <w:t xml:space="preserve"> </w:t>
      </w:r>
      <w:r>
        <w:t xml:space="preserve">км в цялата страна. Делът на домакинствата, свързани с високоскоростен интернет, се увеличава и през 2020 г. той е равен на средния за страната </w:t>
      </w:r>
      <w:r w:rsidR="003E7EA7">
        <w:t>-</w:t>
      </w:r>
      <w:r>
        <w:t xml:space="preserve"> 83,5 %.</w:t>
      </w:r>
    </w:p>
    <w:p w:rsidR="006F1A4C" w:rsidRDefault="00330EEB">
      <w:pPr>
        <w:pStyle w:val="P68B1DB1-Normal5"/>
        <w:tabs>
          <w:tab w:val="left" w:pos="2161"/>
          <w:tab w:val="left" w:leader="dot" w:pos="9072"/>
        </w:tabs>
        <w:spacing w:before="120" w:after="120" w:line="276" w:lineRule="auto"/>
        <w:ind w:firstLine="567"/>
        <w:jc w:val="both"/>
      </w:pPr>
      <w:r>
        <w:rPr>
          <w:b/>
        </w:rPr>
        <w:t>Югозападен регион</w:t>
      </w:r>
      <w:r>
        <w:t xml:space="preserve"> включва областите София (столица) и София област, Благоевград, Кюстендил, Перник. Той е с площ от 20 306 km² и население от около 2 017 861 души. 1691076 души живеят в градове и 326</w:t>
      </w:r>
      <w:r w:rsidR="00E4600E">
        <w:rPr>
          <w:lang w:val="bg-BG"/>
        </w:rPr>
        <w:t xml:space="preserve"> </w:t>
      </w:r>
      <w:r>
        <w:t>785 в села.</w:t>
      </w:r>
    </w:p>
    <w:p w:rsidR="006F1A4C" w:rsidRDefault="00330EEB">
      <w:pPr>
        <w:pStyle w:val="P68B1DB1-Normal5"/>
        <w:tabs>
          <w:tab w:val="left" w:pos="2161"/>
          <w:tab w:val="left" w:leader="dot" w:pos="9072"/>
        </w:tabs>
        <w:spacing w:before="120" w:after="120" w:line="276" w:lineRule="auto"/>
        <w:ind w:firstLine="567"/>
        <w:jc w:val="both"/>
      </w:pPr>
      <w:r>
        <w:t>Югозападният регион е единственият регион в страната, в който броят на населението е останал относително стабилен, като населението е намаляло с по-малко от 1,5 % между 2008 и 2020 г. Това се дължи на нарастването на населението в област София (столица). Прогнозите на НСИ потвърждават устойчивостта на тенденцията, населението на Югозападния регион ще бъде под 200</w:t>
      </w:r>
      <w:r w:rsidR="00E4600E">
        <w:rPr>
          <w:lang w:val="bg-BG"/>
        </w:rPr>
        <w:t xml:space="preserve"> </w:t>
      </w:r>
      <w:r>
        <w:t xml:space="preserve">000 до 2025 г. (стр. 45 </w:t>
      </w:r>
      <w:r w:rsidRPr="00E4600E">
        <w:rPr>
          <w:i/>
        </w:rPr>
        <w:t>Окончателен доклад относно изпълнението на националната стратегия за регионално развитие за периода 2012</w:t>
      </w:r>
      <w:r w:rsidR="00E4600E">
        <w:rPr>
          <w:i/>
          <w:lang w:val="bg-BG"/>
        </w:rPr>
        <w:t>-</w:t>
      </w:r>
      <w:r w:rsidRPr="00E4600E">
        <w:rPr>
          <w:i/>
        </w:rPr>
        <w:t>2022 г.</w:t>
      </w:r>
      <w:r>
        <w:t>)</w:t>
      </w:r>
    </w:p>
    <w:p w:rsidR="006F1A4C" w:rsidRDefault="00330EEB">
      <w:pPr>
        <w:pStyle w:val="P68B1DB1-Normal5"/>
        <w:tabs>
          <w:tab w:val="left" w:pos="2161"/>
          <w:tab w:val="left" w:leader="dot" w:pos="9072"/>
        </w:tabs>
        <w:spacing w:before="120" w:after="120" w:line="276" w:lineRule="auto"/>
        <w:ind w:firstLine="567"/>
        <w:jc w:val="both"/>
      </w:pPr>
      <w:r>
        <w:t>Територията на София (столица) е 1</w:t>
      </w:r>
      <w:r w:rsidR="00E4600E">
        <w:rPr>
          <w:lang w:val="bg-BG"/>
        </w:rPr>
        <w:t xml:space="preserve"> </w:t>
      </w:r>
      <w:r>
        <w:t xml:space="preserve">341 кв. км. В София (столица) има 4 по-големи общини и 56 населени места. 20 % от населението на страната живее в София, която е и областта с най-много жители </w:t>
      </w:r>
      <w:r w:rsidR="00E4600E">
        <w:rPr>
          <w:lang w:val="bg-BG"/>
        </w:rPr>
        <w:t>-</w:t>
      </w:r>
      <w:r>
        <w:t xml:space="preserve"> 1</w:t>
      </w:r>
      <w:r w:rsidR="00E4600E">
        <w:rPr>
          <w:lang w:val="bg-BG"/>
        </w:rPr>
        <w:t> </w:t>
      </w:r>
      <w:r>
        <w:t>196</w:t>
      </w:r>
      <w:r w:rsidR="00E4600E">
        <w:rPr>
          <w:lang w:val="bg-BG"/>
        </w:rPr>
        <w:t xml:space="preserve"> </w:t>
      </w:r>
      <w:r>
        <w:t>805 души.</w:t>
      </w:r>
    </w:p>
    <w:p w:rsidR="006F1A4C" w:rsidRDefault="00330EEB">
      <w:pPr>
        <w:pStyle w:val="P68B1DB1-Normal5"/>
        <w:tabs>
          <w:tab w:val="left" w:pos="2161"/>
          <w:tab w:val="left" w:leader="dot" w:pos="9072"/>
        </w:tabs>
        <w:spacing w:before="120" w:after="120" w:line="276" w:lineRule="auto"/>
        <w:ind w:firstLine="567"/>
        <w:jc w:val="both"/>
      </w:pPr>
      <w:r>
        <w:t xml:space="preserve">София (столица) е с най-висок БВП на глава от населението, със стойност над два пъти повече от средната за страната и двойно по-висока от тази на областта на второ място по този показател </w:t>
      </w:r>
      <w:r w:rsidR="00E4600E">
        <w:rPr>
          <w:lang w:val="bg-BG"/>
        </w:rPr>
        <w:t>-</w:t>
      </w:r>
      <w:r>
        <w:t xml:space="preserve"> област София. Пазарът на труда е добре развит. София също е безспорен лидер в инвестиционната дейност. Делът на домакинствата с достъп до високоскоростен интернет продължава да се увеличава. </w:t>
      </w:r>
    </w:p>
    <w:p w:rsidR="006F1A4C" w:rsidRDefault="00330EEB">
      <w:pPr>
        <w:pStyle w:val="P68B1DB1-Normal5"/>
        <w:tabs>
          <w:tab w:val="left" w:pos="2161"/>
          <w:tab w:val="left" w:leader="dot" w:pos="9072"/>
        </w:tabs>
        <w:spacing w:before="120" w:after="120" w:line="276" w:lineRule="auto"/>
        <w:ind w:firstLine="567"/>
        <w:jc w:val="both"/>
      </w:pPr>
      <w:r>
        <w:t xml:space="preserve">София е област с най-благоприятни демографски условия. Въпреки че естественият прираст на населението е отрицателен и намалява, както и на други места в страната, той все още заема най-високото място в цялата страна със стойност </w:t>
      </w:r>
      <w:r w:rsidR="00E4600E">
        <w:rPr>
          <w:lang w:val="bg-BG"/>
        </w:rPr>
        <w:t>-</w:t>
      </w:r>
      <w:r>
        <w:t xml:space="preserve"> 6,8, в сравнение със средната стойност за страната </w:t>
      </w:r>
      <w:r w:rsidR="00E4600E">
        <w:rPr>
          <w:lang w:val="bg-BG"/>
        </w:rPr>
        <w:t>-</w:t>
      </w:r>
      <w:r>
        <w:t xml:space="preserve"> 13,2 </w:t>
      </w:r>
      <w:r w:rsidR="005A3799">
        <w:t>‰</w:t>
      </w:r>
      <w:r w:rsidR="0065770A">
        <w:rPr>
          <w:lang w:val="bg-BG"/>
        </w:rPr>
        <w:t>.</w:t>
      </w:r>
      <w:r>
        <w:t xml:space="preserve"> София (столица) продължава да привлича нови жители, а нетният темп на миграция е 6.0. Спецификата на областта е изключително висока урбанизация </w:t>
      </w:r>
      <w:r w:rsidR="00E4600E">
        <w:rPr>
          <w:lang w:val="bg-BG"/>
        </w:rPr>
        <w:t>-</w:t>
      </w:r>
      <w:r>
        <w:t xml:space="preserve"> 95,5 % от територията ѝ, а гъстотата на населението е три пъти по-голяма от средната за страната </w:t>
      </w:r>
      <w:r w:rsidR="00017AA9">
        <w:rPr>
          <w:lang w:val="bg-BG"/>
        </w:rPr>
        <w:t>–</w:t>
      </w:r>
      <w:r>
        <w:t xml:space="preserve"> 4</w:t>
      </w:r>
      <w:r w:rsidR="00017AA9">
        <w:rPr>
          <w:lang w:val="bg-BG"/>
        </w:rPr>
        <w:t xml:space="preserve"> </w:t>
      </w:r>
      <w:r>
        <w:t>761 души/кв.</w:t>
      </w:r>
      <w:r w:rsidR="00017AA9">
        <w:rPr>
          <w:lang w:val="bg-BG"/>
        </w:rPr>
        <w:t xml:space="preserve"> </w:t>
      </w:r>
      <w:r>
        <w:t>км, в сравнение с 1</w:t>
      </w:r>
      <w:r w:rsidR="00017AA9">
        <w:rPr>
          <w:lang w:val="bg-BG"/>
        </w:rPr>
        <w:t xml:space="preserve"> </w:t>
      </w:r>
      <w:r>
        <w:t>486 души/кв.</w:t>
      </w:r>
      <w:r w:rsidR="00017AA9">
        <w:rPr>
          <w:lang w:val="bg-BG"/>
        </w:rPr>
        <w:t xml:space="preserve"> </w:t>
      </w:r>
      <w:r>
        <w:t xml:space="preserve">км за страната. Делът на домакинствата с достъп до високоскоростен интернет отново е много висок </w:t>
      </w:r>
      <w:r w:rsidR="00E4600E">
        <w:rPr>
          <w:lang w:val="bg-BG"/>
        </w:rPr>
        <w:t>-</w:t>
      </w:r>
      <w:r>
        <w:t xml:space="preserve"> 90,3 %, в сравнение с 83,5 % в страната. </w:t>
      </w:r>
    </w:p>
    <w:p w:rsidR="006F1A4C" w:rsidRDefault="00330EEB">
      <w:pPr>
        <w:pStyle w:val="P68B1DB1-Normal5"/>
        <w:tabs>
          <w:tab w:val="left" w:pos="2161"/>
          <w:tab w:val="left" w:leader="dot" w:pos="9072"/>
        </w:tabs>
        <w:spacing w:before="120" w:after="120" w:line="276" w:lineRule="auto"/>
        <w:ind w:firstLine="567"/>
        <w:jc w:val="both"/>
      </w:pPr>
      <w:r>
        <w:t>Територията на Софийска област е 7</w:t>
      </w:r>
      <w:r w:rsidR="007A067C">
        <w:rPr>
          <w:lang w:val="bg-BG"/>
        </w:rPr>
        <w:t xml:space="preserve"> </w:t>
      </w:r>
      <w:r>
        <w:t>062 кв.</w:t>
      </w:r>
      <w:r w:rsidR="007A067C">
        <w:rPr>
          <w:lang w:val="bg-BG"/>
        </w:rPr>
        <w:t xml:space="preserve"> </w:t>
      </w:r>
      <w:r>
        <w:t>км. В област София има 22 по-големи общини и 286 населени места. Към 31 декември 2023 г. населението на Софийска област е 226</w:t>
      </w:r>
      <w:r w:rsidR="007A067C">
        <w:rPr>
          <w:lang w:val="bg-BG"/>
        </w:rPr>
        <w:t xml:space="preserve"> </w:t>
      </w:r>
      <w:r>
        <w:t>420 души, което представлява 3,5 % от населението на страната. В сравнение с 2022 г. населението на областта намалява с 1</w:t>
      </w:r>
      <w:r w:rsidR="007A067C">
        <w:rPr>
          <w:lang w:val="bg-BG"/>
        </w:rPr>
        <w:t xml:space="preserve"> </w:t>
      </w:r>
      <w:r>
        <w:t>190 души, или с 0,5 %.</w:t>
      </w:r>
    </w:p>
    <w:p w:rsidR="006F1A4C" w:rsidRDefault="00330EEB">
      <w:pPr>
        <w:pStyle w:val="P68B1DB1-Normal5"/>
        <w:tabs>
          <w:tab w:val="left" w:pos="2161"/>
          <w:tab w:val="left" w:leader="dot" w:pos="9072"/>
        </w:tabs>
        <w:spacing w:before="120" w:after="120" w:line="276" w:lineRule="auto"/>
        <w:ind w:firstLine="567"/>
        <w:jc w:val="both"/>
      </w:pPr>
      <w:r>
        <w:t xml:space="preserve">София област е регистрирала най-нисък темп на растеж на БВП на глава от населението, като по този начин губи второто си място в класацията. Заплатите и пенсиите остават относително високи. Развитието на местния пазар на труда продължава да бъде добро. Доброто икономическо развитие в областта е съпроводено с висока инвестиционна активност. Гъстотата на пътната мрежа е висока. </w:t>
      </w:r>
    </w:p>
    <w:p w:rsidR="006F1A4C" w:rsidRDefault="00330EEB">
      <w:pPr>
        <w:pStyle w:val="P68B1DB1-Normal5"/>
        <w:tabs>
          <w:tab w:val="left" w:pos="2161"/>
          <w:tab w:val="left" w:leader="dot" w:pos="9072"/>
        </w:tabs>
        <w:spacing w:before="120" w:after="120" w:line="276" w:lineRule="auto"/>
        <w:ind w:firstLine="567"/>
        <w:jc w:val="both"/>
      </w:pPr>
      <w:r>
        <w:t xml:space="preserve">Темпът на естествено нарастване на населението в област София остава под средния за страната. Районът е сред тези с относително ниско ниво на урбанизация. Представянето на учениците е лошо. </w:t>
      </w:r>
    </w:p>
    <w:p w:rsidR="006F1A4C" w:rsidRDefault="00330EEB">
      <w:pPr>
        <w:pStyle w:val="P68B1DB1-Normal5"/>
        <w:tabs>
          <w:tab w:val="left" w:pos="2161"/>
          <w:tab w:val="left" w:leader="dot" w:pos="9072"/>
        </w:tabs>
        <w:spacing w:before="120" w:after="120" w:line="276" w:lineRule="auto"/>
        <w:ind w:firstLine="567"/>
        <w:jc w:val="both"/>
      </w:pPr>
      <w:r>
        <w:t xml:space="preserve">Темпът на </w:t>
      </w:r>
      <w:r w:rsidR="0065770A">
        <w:rPr>
          <w:lang w:val="bg-BG"/>
        </w:rPr>
        <w:t>естествения прираст</w:t>
      </w:r>
      <w:r>
        <w:t xml:space="preserve"> на населението в област София продължава да намалява и остава под средното за страната равнище </w:t>
      </w:r>
      <w:r w:rsidR="007A067C">
        <w:rPr>
          <w:lang w:val="bg-BG"/>
        </w:rPr>
        <w:t>-</w:t>
      </w:r>
      <w:r>
        <w:t xml:space="preserve"> 15,5 </w:t>
      </w:r>
      <w:r w:rsidR="005A3799">
        <w:t>‰</w:t>
      </w:r>
      <w:r>
        <w:t xml:space="preserve"> спрямо </w:t>
      </w:r>
      <w:r w:rsidR="007A067C">
        <w:rPr>
          <w:lang w:val="bg-BG"/>
        </w:rPr>
        <w:t xml:space="preserve">- </w:t>
      </w:r>
      <w:r>
        <w:t xml:space="preserve">13.2 за цялата страна през 2021 г. Нетният процент на миграция също е отрицателен </w:t>
      </w:r>
      <w:r w:rsidR="007A067C">
        <w:rPr>
          <w:lang w:val="bg-BG"/>
        </w:rPr>
        <w:t>-</w:t>
      </w:r>
      <w:r>
        <w:t xml:space="preserve"> 5,1. Тези процеси се отразяват </w:t>
      </w:r>
      <w:r w:rsidR="007A067C">
        <w:rPr>
          <w:lang w:val="bg-BG"/>
        </w:rPr>
        <w:t>във</w:t>
      </w:r>
      <w:r>
        <w:t xml:space="preserve"> влошаващите се коефициенти на възрастова зависимост в областта. София е сред областите на България със сравнително ниско ниво на урбанизация </w:t>
      </w:r>
      <w:r w:rsidR="003E7EA7">
        <w:t>-</w:t>
      </w:r>
      <w:r>
        <w:t xml:space="preserve"> 59,3 % от населението ѝ е градско, при 73,1 % в цялата страна и с ниска гъстота на населението от 755 души/кв.км, в сравнение със средното за страната от 1489 души/кв.км. Достъпът до интернет в областта остава относително ограничен, като към него са свързани 74,1 % при средно 83,5 % за страната.</w:t>
      </w:r>
    </w:p>
    <w:p w:rsidR="006F1A4C" w:rsidRDefault="00330EEB">
      <w:pPr>
        <w:pStyle w:val="P68B1DB1-Normal5"/>
        <w:tabs>
          <w:tab w:val="left" w:pos="2161"/>
          <w:tab w:val="left" w:leader="dot" w:pos="9072"/>
        </w:tabs>
        <w:spacing w:before="120" w:after="120" w:line="276" w:lineRule="auto"/>
        <w:ind w:firstLine="567"/>
        <w:jc w:val="both"/>
      </w:pPr>
      <w:r>
        <w:t>Област Благоевград е разделена на 14 по-големи общини и 274 населени места. Територията на областта е 6</w:t>
      </w:r>
      <w:r w:rsidR="00816451">
        <w:rPr>
          <w:lang w:val="bg-BG"/>
        </w:rPr>
        <w:t xml:space="preserve"> </w:t>
      </w:r>
      <w:r>
        <w:t>449 кв. км. Към 31 декември 2023 г. населението на област Благоевград е 287</w:t>
      </w:r>
      <w:r w:rsidR="00816451">
        <w:rPr>
          <w:lang w:val="bg-BG"/>
        </w:rPr>
        <w:t xml:space="preserve"> </w:t>
      </w:r>
      <w:r>
        <w:t>077 души, което представлява 4,5 % от населението на България. В сравнение с 2022 г. населението на областта намалява с 1</w:t>
      </w:r>
      <w:r w:rsidR="00816451">
        <w:rPr>
          <w:lang w:val="bg-BG"/>
        </w:rPr>
        <w:t xml:space="preserve"> </w:t>
      </w:r>
      <w:r>
        <w:t>084 души или с 0,4 %.</w:t>
      </w:r>
    </w:p>
    <w:p w:rsidR="006F1A4C" w:rsidRDefault="00330EEB">
      <w:pPr>
        <w:pStyle w:val="P68B1DB1-Normal5"/>
        <w:tabs>
          <w:tab w:val="left" w:pos="2161"/>
          <w:tab w:val="left" w:leader="dot" w:pos="9072"/>
        </w:tabs>
        <w:spacing w:before="120" w:after="120" w:line="276" w:lineRule="auto"/>
        <w:ind w:firstLine="567"/>
        <w:jc w:val="both"/>
      </w:pPr>
      <w:r>
        <w:t>БВП на глава от населението в област Благоевград продължава да расте сравнително бързо. В същото време темповете на нарастване на заплатите и пенсиите са близки до съответните средни стойности за страната. През 2022 г. заетостта намаля</w:t>
      </w:r>
      <w:r w:rsidR="0065770A">
        <w:rPr>
          <w:lang w:val="bg-BG"/>
        </w:rPr>
        <w:t>ва</w:t>
      </w:r>
      <w:r>
        <w:t xml:space="preserve">, а безработицата </w:t>
      </w:r>
      <w:r w:rsidR="00E75EDE">
        <w:rPr>
          <w:lang w:val="bg-BG"/>
        </w:rPr>
        <w:t>нараства</w:t>
      </w:r>
      <w:r>
        <w:t xml:space="preserve">. </w:t>
      </w:r>
    </w:p>
    <w:p w:rsidR="006F1A4C" w:rsidRDefault="00330EEB">
      <w:pPr>
        <w:pStyle w:val="P68B1DB1-Normal5"/>
        <w:tabs>
          <w:tab w:val="left" w:pos="2161"/>
          <w:tab w:val="left" w:leader="dot" w:pos="9072"/>
        </w:tabs>
        <w:spacing w:before="120" w:after="120" w:line="276" w:lineRule="auto"/>
        <w:ind w:firstLine="567"/>
        <w:jc w:val="both"/>
      </w:pPr>
      <w:r>
        <w:t>Що се отнася до демографските показатели, Благоевград е постигнал сравнително добри резултати, макар че подобно на всички останали области в страната, тенденцията към бързо застаряване на населението е доказана и тук.  През 2022 г. естественият прираст на населението в областта е -</w:t>
      </w:r>
      <w:r w:rsidR="00186E7E">
        <w:rPr>
          <w:lang w:val="bg-BG"/>
        </w:rPr>
        <w:t xml:space="preserve"> </w:t>
      </w:r>
      <w:r>
        <w:t>7.5, при средностатистическия за страната -</w:t>
      </w:r>
      <w:r w:rsidR="00186E7E">
        <w:rPr>
          <w:lang w:val="bg-BG"/>
        </w:rPr>
        <w:t xml:space="preserve"> </w:t>
      </w:r>
      <w:r>
        <w:t xml:space="preserve">9.7. Районът продължава да привлича нови жители и нетният процент на миграция е положителен. Застаряването на населението в областта отново остава под средното за страната през 2022 г. Относително малък дял от населението живее в градските селища </w:t>
      </w:r>
      <w:r w:rsidR="003E7EA7">
        <w:t>-</w:t>
      </w:r>
      <w:r>
        <w:t xml:space="preserve"> 59,8 %, при средно 73,6 % за страната. В същото време гъстотата на населението в градските населени места в областта остава сравнително висока </w:t>
      </w:r>
      <w:r w:rsidR="003E7EA7">
        <w:t>-</w:t>
      </w:r>
      <w:r>
        <w:t xml:space="preserve"> 2166 души/</w:t>
      </w:r>
      <w:proofErr w:type="spellStart"/>
      <w:r>
        <w:t>кв.км</w:t>
      </w:r>
      <w:proofErr w:type="spellEnd"/>
      <w:r>
        <w:t>, спрямо средно 1404 души/кв.км в страната. Относителният дял на домакинствата с достъп до интернет в област Благоевград през 2022 г. отново остана под средния за страната.</w:t>
      </w:r>
    </w:p>
    <w:p w:rsidR="006F1A4C" w:rsidRDefault="00330EEB">
      <w:pPr>
        <w:pStyle w:val="P68B1DB1-Normal5"/>
        <w:tabs>
          <w:tab w:val="left" w:pos="2161"/>
          <w:tab w:val="left" w:leader="dot" w:pos="9072"/>
        </w:tabs>
        <w:spacing w:before="120" w:after="120" w:line="276" w:lineRule="auto"/>
        <w:ind w:firstLine="567"/>
        <w:jc w:val="both"/>
      </w:pPr>
      <w:r>
        <w:t>Територията на Кюстендилска област е 3,052 кв. км. В област Кюстендил има 9 по-големи общини и 182 населени места. Населението на областта е 108</w:t>
      </w:r>
      <w:r w:rsidR="00186E7E">
        <w:rPr>
          <w:lang w:val="bg-BG"/>
        </w:rPr>
        <w:t xml:space="preserve"> </w:t>
      </w:r>
      <w:r>
        <w:t xml:space="preserve">703 души. БВП на глава от населението в област Кюстендил нараства, но остава под средното за страната. Икономическата активност и равнището на заетост </w:t>
      </w:r>
      <w:r w:rsidR="00186E7E">
        <w:rPr>
          <w:lang w:val="bg-BG"/>
        </w:rPr>
        <w:t>отбелязват</w:t>
      </w:r>
      <w:r>
        <w:t xml:space="preserve"> значително увеличение. Инвестиционната активност в областта е сред най-ниските в страната. </w:t>
      </w:r>
    </w:p>
    <w:p w:rsidR="006F1A4C" w:rsidRDefault="00330EEB">
      <w:pPr>
        <w:pStyle w:val="P68B1DB1-Normal5"/>
        <w:tabs>
          <w:tab w:val="left" w:pos="2161"/>
          <w:tab w:val="left" w:leader="dot" w:pos="9072"/>
        </w:tabs>
        <w:spacing w:before="120" w:after="120" w:line="276" w:lineRule="auto"/>
        <w:ind w:firstLine="567"/>
        <w:jc w:val="both"/>
      </w:pPr>
      <w:r>
        <w:t xml:space="preserve">Кюстендил е сред областите с най-висок процент на застаряване на населението, предшестван само от Видин, Габрово и Смолян по този показател. Демографското развитие в област Кюстендил е сред най-слабите в страната. Темпът на </w:t>
      </w:r>
      <w:r w:rsidR="00505AAB">
        <w:rPr>
          <w:lang w:val="bg-BG"/>
        </w:rPr>
        <w:t>естествения прираст на</w:t>
      </w:r>
      <w:r>
        <w:t xml:space="preserve"> население</w:t>
      </w:r>
      <w:r w:rsidR="00505AAB">
        <w:rPr>
          <w:lang w:val="bg-BG"/>
        </w:rPr>
        <w:t>то</w:t>
      </w:r>
      <w:r>
        <w:t xml:space="preserve"> продължава бързо да намалява, а през 2021 г. достига </w:t>
      </w:r>
      <w:r w:rsidR="003E7EA7">
        <w:t>-</w:t>
      </w:r>
      <w:r>
        <w:t xml:space="preserve"> 22,0 </w:t>
      </w:r>
      <w:r w:rsidR="005A3799">
        <w:t>‰</w:t>
      </w:r>
      <w:r>
        <w:t xml:space="preserve"> (срещу </w:t>
      </w:r>
      <w:r w:rsidR="003E7EA7">
        <w:t>-</w:t>
      </w:r>
      <w:r>
        <w:t xml:space="preserve"> 13,2</w:t>
      </w:r>
      <w:r w:rsidR="00505AAB" w:rsidRPr="00505AAB">
        <w:t xml:space="preserve">‰ </w:t>
      </w:r>
      <w:r>
        <w:t>в страната). Подобно на почти всички области, през 2020 г. Кюстендил успя</w:t>
      </w:r>
      <w:r w:rsidR="00505AAB">
        <w:rPr>
          <w:lang w:val="bg-BG"/>
        </w:rPr>
        <w:t>ва</w:t>
      </w:r>
      <w:r>
        <w:t xml:space="preserve"> да привлече </w:t>
      </w:r>
      <w:r w:rsidR="00186E7E">
        <w:rPr>
          <w:lang w:val="bg-BG"/>
        </w:rPr>
        <w:t>жители</w:t>
      </w:r>
      <w:r>
        <w:t xml:space="preserve"> и </w:t>
      </w:r>
      <w:r w:rsidR="00186E7E">
        <w:rPr>
          <w:lang w:val="bg-BG"/>
        </w:rPr>
        <w:t>естественият прираст</w:t>
      </w:r>
      <w:r>
        <w:t xml:space="preserve"> </w:t>
      </w:r>
      <w:r w:rsidR="00505AAB">
        <w:rPr>
          <w:lang w:val="bg-BG"/>
        </w:rPr>
        <w:t>е</w:t>
      </w:r>
      <w:r>
        <w:t xml:space="preserve"> положителен за първи път от поне две десетилетия. Тази тенденция обаче не се </w:t>
      </w:r>
      <w:r w:rsidR="00186E7E">
        <w:rPr>
          <w:lang w:val="bg-BG"/>
        </w:rPr>
        <w:t>оказва</w:t>
      </w:r>
      <w:r>
        <w:t xml:space="preserve"> постоянна и през 2021 г. отново </w:t>
      </w:r>
      <w:r w:rsidR="00505AAB">
        <w:rPr>
          <w:lang w:val="bg-BG"/>
        </w:rPr>
        <w:t>е</w:t>
      </w:r>
      <w:r>
        <w:t xml:space="preserve"> отрицателна, със стойност -</w:t>
      </w:r>
      <w:r w:rsidR="00186E7E">
        <w:rPr>
          <w:lang w:val="bg-BG"/>
        </w:rPr>
        <w:t xml:space="preserve"> </w:t>
      </w:r>
      <w:r>
        <w:t xml:space="preserve">5,7. Градското население е 69,7 %, което е близо, но под средното за страната от 73,1 %, но гъстотата на населението е сравнително ниска </w:t>
      </w:r>
      <w:r w:rsidR="003E7EA7">
        <w:t>-</w:t>
      </w:r>
      <w:r>
        <w:t xml:space="preserve"> 1</w:t>
      </w:r>
      <w:r w:rsidR="00186E7E">
        <w:rPr>
          <w:lang w:val="bg-BG"/>
        </w:rPr>
        <w:t xml:space="preserve"> </w:t>
      </w:r>
      <w:r>
        <w:t>078 души/кв.</w:t>
      </w:r>
      <w:r w:rsidR="00186E7E">
        <w:rPr>
          <w:lang w:val="bg-BG"/>
        </w:rPr>
        <w:t xml:space="preserve"> </w:t>
      </w:r>
      <w:r>
        <w:t>км, при средно 1</w:t>
      </w:r>
      <w:r w:rsidR="00186E7E">
        <w:rPr>
          <w:lang w:val="bg-BG"/>
        </w:rPr>
        <w:t xml:space="preserve"> </w:t>
      </w:r>
      <w:r>
        <w:t>489 души/кв.</w:t>
      </w:r>
      <w:r w:rsidR="00186E7E">
        <w:rPr>
          <w:lang w:val="bg-BG"/>
        </w:rPr>
        <w:t xml:space="preserve"> </w:t>
      </w:r>
      <w:r>
        <w:t xml:space="preserve">км за страната. Достъпът до интернет на домакинствата в областта се увеличава рязко и през 2021 г. е 77,3 %, в сравнение със средната стойност за страната от 83,5 %. </w:t>
      </w:r>
    </w:p>
    <w:p w:rsidR="006F1A4C" w:rsidRDefault="00330EEB">
      <w:pPr>
        <w:pStyle w:val="P68B1DB1-Normal5"/>
        <w:tabs>
          <w:tab w:val="left" w:pos="2161"/>
          <w:tab w:val="left" w:leader="dot" w:pos="9072"/>
        </w:tabs>
        <w:spacing w:before="120" w:after="120" w:line="276" w:lineRule="auto"/>
        <w:ind w:firstLine="567"/>
        <w:jc w:val="both"/>
      </w:pPr>
      <w:r>
        <w:t>В област Перник има 6 по-големи общини и 171 населени места. Територията на областта е 2</w:t>
      </w:r>
      <w:r w:rsidR="00AE08C9">
        <w:rPr>
          <w:lang w:val="bg-BG"/>
        </w:rPr>
        <w:t xml:space="preserve"> </w:t>
      </w:r>
      <w:r>
        <w:t>394 кв.</w:t>
      </w:r>
      <w:r w:rsidR="00AE08C9">
        <w:rPr>
          <w:lang w:val="bg-BG"/>
        </w:rPr>
        <w:t xml:space="preserve"> </w:t>
      </w:r>
      <w:r>
        <w:t>км. Населението на общината през 2022 г. е 111</w:t>
      </w:r>
      <w:r w:rsidR="00AE08C9">
        <w:rPr>
          <w:lang w:val="bg-BG"/>
        </w:rPr>
        <w:t xml:space="preserve"> </w:t>
      </w:r>
      <w:r>
        <w:t>746 души. Делът на градското население е 78,1 %</w:t>
      </w:r>
      <w:r w:rsidR="00AB0063">
        <w:rPr>
          <w:lang w:val="bg-BG"/>
        </w:rPr>
        <w:t xml:space="preserve">. </w:t>
      </w:r>
      <w:r>
        <w:t xml:space="preserve">Заплатите и пенсиите в област Перник продължават да нарастват, а нивото на бедност остава ниско. Инвестиционната дейност в областта е сравнително слаба. </w:t>
      </w:r>
    </w:p>
    <w:p w:rsidR="006F1A4C" w:rsidRDefault="00330EEB">
      <w:pPr>
        <w:pStyle w:val="P68B1DB1-Normal5"/>
        <w:tabs>
          <w:tab w:val="left" w:pos="2161"/>
          <w:tab w:val="left" w:leader="dot" w:pos="9072"/>
        </w:tabs>
        <w:spacing w:before="120" w:after="120" w:line="276" w:lineRule="auto"/>
        <w:ind w:firstLine="567"/>
        <w:jc w:val="both"/>
      </w:pPr>
      <w:r>
        <w:t xml:space="preserve">Възрастовата зависимост продължава да се влошава. Естественият прираст на населението в област Перник продължава да намалява. 2020 г. </w:t>
      </w:r>
      <w:r w:rsidR="00AB0063">
        <w:rPr>
          <w:lang w:val="bg-BG"/>
        </w:rPr>
        <w:t>е</w:t>
      </w:r>
      <w:r>
        <w:t xml:space="preserve"> още една година на значително намаление, достигащо </w:t>
      </w:r>
      <w:r w:rsidR="003E7EA7">
        <w:t>-</w:t>
      </w:r>
      <w:r>
        <w:t xml:space="preserve"> 22.1, в сравнение със средната стойност за страната от </w:t>
      </w:r>
      <w:r w:rsidR="003E7EA7">
        <w:t>-</w:t>
      </w:r>
      <w:r>
        <w:t xml:space="preserve">13.2. Нетният процент на миграция е спаднал, но остава положителен (1,1). Бързият темп на застаряване на населението в областта е очевиден и в коефициентите на възрастова зависимост. Градското население е сравнително високо </w:t>
      </w:r>
      <w:r w:rsidR="003E7EA7">
        <w:t>-</w:t>
      </w:r>
      <w:r>
        <w:t xml:space="preserve"> 78,1 % спрямо 73,1 % в цялата страна, но гъстотата му е ниска </w:t>
      </w:r>
      <w:r w:rsidR="003E7EA7">
        <w:t>-</w:t>
      </w:r>
      <w:r>
        <w:t xml:space="preserve"> 904 души/</w:t>
      </w:r>
      <w:proofErr w:type="spellStart"/>
      <w:r>
        <w:t>кв.км</w:t>
      </w:r>
      <w:proofErr w:type="spellEnd"/>
      <w:r>
        <w:t xml:space="preserve">, в сравнение с 1489 души/кв.км в страната. Относителният дял на домакинствата с достъп до интернет отбелязва значително увеличение и през 2021 г. се доближава до средното за страната </w:t>
      </w:r>
      <w:r w:rsidR="003E7EA7">
        <w:t>-</w:t>
      </w:r>
      <w:r>
        <w:t xml:space="preserve"> 82,8 % в област Перник, спрямо 83,5 % за страната.</w:t>
      </w:r>
    </w:p>
    <w:tbl>
      <w:tblPr>
        <w:tblW w:w="795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15" w:type="dxa"/>
          <w:left w:w="15" w:type="dxa"/>
          <w:bottom w:w="15" w:type="dxa"/>
          <w:right w:w="15" w:type="dxa"/>
        </w:tblCellMar>
        <w:tblLook w:val="04A0" w:firstRow="1" w:lastRow="0" w:firstColumn="1" w:lastColumn="0" w:noHBand="0" w:noVBand="1"/>
      </w:tblPr>
      <w:tblGrid>
        <w:gridCol w:w="6627"/>
        <w:gridCol w:w="1323"/>
      </w:tblGrid>
      <w:tr w:rsidR="006F1A4C">
        <w:trPr>
          <w:tblHeader/>
          <w:jc w:val="center"/>
        </w:trPr>
        <w:tc>
          <w:tcPr>
            <w:tcW w:w="0" w:type="auto"/>
            <w:gridSpan w:val="2"/>
            <w:shd w:val="clear" w:color="auto" w:fill="auto"/>
            <w:tcMar>
              <w:top w:w="30" w:type="dxa"/>
              <w:left w:w="30" w:type="dxa"/>
              <w:bottom w:w="30" w:type="dxa"/>
              <w:right w:w="30" w:type="dxa"/>
            </w:tcMar>
            <w:vAlign w:val="center"/>
            <w:hideMark/>
          </w:tcPr>
          <w:p w:rsidR="006F1A4C" w:rsidRPr="00E33AF2" w:rsidRDefault="00330EEB">
            <w:pPr>
              <w:pStyle w:val="P68B1DB1-Normal9"/>
              <w:spacing w:after="150" w:line="240" w:lineRule="auto"/>
              <w:jc w:val="center"/>
              <w:rPr>
                <w:lang w:val="bg-BG"/>
              </w:rPr>
            </w:pPr>
            <w:r>
              <w:t>ДОСТЪП ДО ИНТЕРНЕТ ЗА ДОМАКИНСТВ</w:t>
            </w:r>
            <w:r w:rsidR="00E33AF2">
              <w:rPr>
                <w:lang w:val="bg-BG"/>
              </w:rPr>
              <w:t>а</w:t>
            </w:r>
            <w:r>
              <w:t>Т</w:t>
            </w:r>
            <w:r w:rsidR="00E33AF2">
              <w:rPr>
                <w:lang w:val="bg-BG"/>
              </w:rPr>
              <w:t>а</w:t>
            </w:r>
          </w:p>
          <w:p w:rsidR="006F1A4C" w:rsidRDefault="00330EEB">
            <w:pPr>
              <w:pStyle w:val="P68B1DB1-Normal9"/>
              <w:spacing w:before="150" w:after="150" w:line="240" w:lineRule="auto"/>
              <w:jc w:val="center"/>
            </w:pPr>
            <w:r>
              <w:t>(Проценти)</w:t>
            </w:r>
          </w:p>
        </w:tc>
      </w:tr>
      <w:tr w:rsidR="006F1A4C">
        <w:trPr>
          <w:jc w:val="center"/>
        </w:trPr>
        <w:tc>
          <w:tcPr>
            <w:tcW w:w="0" w:type="auto"/>
            <w:shd w:val="clear" w:color="auto" w:fill="auto"/>
            <w:tcMar>
              <w:top w:w="30" w:type="dxa"/>
              <w:left w:w="30" w:type="dxa"/>
              <w:bottom w:w="30" w:type="dxa"/>
              <w:right w:w="30" w:type="dxa"/>
            </w:tcMar>
            <w:vAlign w:val="center"/>
            <w:hideMark/>
          </w:tcPr>
          <w:p w:rsidR="006F1A4C" w:rsidRDefault="00330EEB">
            <w:pPr>
              <w:pStyle w:val="P68B1DB1-Normal10"/>
              <w:spacing w:before="150" w:after="150" w:line="240" w:lineRule="auto"/>
            </w:pPr>
            <w:r>
              <w:t>Общо</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0"/>
              <w:spacing w:before="150" w:after="150" w:line="240" w:lineRule="auto"/>
              <w:jc w:val="right"/>
            </w:pPr>
            <w:r>
              <w:t>88.5</w:t>
            </w:r>
          </w:p>
        </w:tc>
      </w:tr>
      <w:tr w:rsidR="006F1A4C">
        <w:trPr>
          <w:jc w:val="center"/>
        </w:trPr>
        <w:tc>
          <w:tcPr>
            <w:tcW w:w="0" w:type="auto"/>
            <w:gridSpan w:val="2"/>
            <w:shd w:val="clear" w:color="auto" w:fill="auto"/>
            <w:tcMar>
              <w:top w:w="30" w:type="dxa"/>
              <w:left w:w="30" w:type="dxa"/>
              <w:bottom w:w="30" w:type="dxa"/>
              <w:right w:w="30" w:type="dxa"/>
            </w:tcMar>
            <w:vAlign w:val="center"/>
            <w:hideMark/>
          </w:tcPr>
          <w:p w:rsidR="006F1A4C" w:rsidRDefault="00330EEB">
            <w:pPr>
              <w:pStyle w:val="P68B1DB1-Normal10"/>
              <w:spacing w:before="150" w:after="150" w:line="240" w:lineRule="auto"/>
            </w:pPr>
            <w:r>
              <w:t>По статистически региони</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Северозапад</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82.6</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Северен централен</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85.4</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Pr="009E21C4" w:rsidRDefault="009E21C4" w:rsidP="00AB0063">
            <w:pPr>
              <w:pStyle w:val="P68B1DB1-Normal11"/>
              <w:spacing w:before="150" w:after="150" w:line="240" w:lineRule="auto"/>
              <w:rPr>
                <w:lang w:val="bg-BG"/>
              </w:rPr>
            </w:pPr>
            <w:r>
              <w:rPr>
                <w:lang w:val="bg-BG"/>
              </w:rPr>
              <w:t>Североизточен</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86.5</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Pr="009E21C4" w:rsidRDefault="009E21C4" w:rsidP="00AB0063">
            <w:pPr>
              <w:pStyle w:val="P68B1DB1-Normal11"/>
              <w:spacing w:before="150" w:after="150" w:line="240" w:lineRule="auto"/>
              <w:rPr>
                <w:lang w:val="bg-BG"/>
              </w:rPr>
            </w:pPr>
            <w:r>
              <w:rPr>
                <w:lang w:val="bg-BG"/>
              </w:rPr>
              <w:t>Югоизточен</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87.5</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Югозападен</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92.8</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Южен централен</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87.8</w:t>
            </w:r>
          </w:p>
        </w:tc>
      </w:tr>
      <w:tr w:rsidR="006F1A4C">
        <w:trPr>
          <w:jc w:val="center"/>
        </w:trPr>
        <w:tc>
          <w:tcPr>
            <w:tcW w:w="0" w:type="auto"/>
            <w:gridSpan w:val="2"/>
            <w:shd w:val="clear" w:color="auto" w:fill="auto"/>
            <w:tcMar>
              <w:top w:w="30" w:type="dxa"/>
              <w:left w:w="30" w:type="dxa"/>
              <w:bottom w:w="30" w:type="dxa"/>
              <w:right w:w="30" w:type="dxa"/>
            </w:tcMar>
            <w:vAlign w:val="center"/>
            <w:hideMark/>
          </w:tcPr>
          <w:p w:rsidR="006F1A4C" w:rsidRDefault="00330EEB">
            <w:pPr>
              <w:pStyle w:val="P68B1DB1-Normal10"/>
              <w:spacing w:before="150" w:after="150" w:line="240" w:lineRule="auto"/>
            </w:pPr>
            <w:r>
              <w:t>По място на пребиваване</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В градовете</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91.8</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В селата</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77.0</w:t>
            </w:r>
          </w:p>
        </w:tc>
      </w:tr>
      <w:tr w:rsidR="006F1A4C">
        <w:trPr>
          <w:jc w:val="center"/>
        </w:trPr>
        <w:tc>
          <w:tcPr>
            <w:tcW w:w="0" w:type="auto"/>
            <w:gridSpan w:val="2"/>
            <w:shd w:val="clear" w:color="auto" w:fill="auto"/>
            <w:tcMar>
              <w:top w:w="30" w:type="dxa"/>
              <w:left w:w="30" w:type="dxa"/>
              <w:bottom w:w="30" w:type="dxa"/>
              <w:right w:w="30" w:type="dxa"/>
            </w:tcMar>
            <w:vAlign w:val="center"/>
            <w:hideMark/>
          </w:tcPr>
          <w:p w:rsidR="006F1A4C" w:rsidRDefault="00330EEB">
            <w:pPr>
              <w:pStyle w:val="P68B1DB1-Normal10"/>
              <w:spacing w:before="150" w:after="150" w:line="240" w:lineRule="auto"/>
            </w:pPr>
            <w:r>
              <w:t>По вид домакинство</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Домакинства без деца</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87.1</w:t>
            </w:r>
          </w:p>
        </w:tc>
      </w:tr>
      <w:tr w:rsidR="006F1A4C">
        <w:trPr>
          <w:jc w:val="center"/>
        </w:trPr>
        <w:tc>
          <w:tcPr>
            <w:tcW w:w="0" w:type="auto"/>
            <w:shd w:val="clear" w:color="auto" w:fill="auto"/>
            <w:tcMar>
              <w:top w:w="30" w:type="dxa"/>
              <w:left w:w="120" w:type="dxa"/>
              <w:bottom w:w="30" w:type="dxa"/>
              <w:right w:w="30" w:type="dxa"/>
            </w:tcMar>
            <w:vAlign w:val="center"/>
            <w:hideMark/>
          </w:tcPr>
          <w:p w:rsidR="006F1A4C" w:rsidRDefault="00330EEB">
            <w:pPr>
              <w:pStyle w:val="P68B1DB1-Normal11"/>
              <w:spacing w:before="150" w:after="150" w:line="240" w:lineRule="auto"/>
            </w:pPr>
            <w:r>
              <w:t>Домакинства с деца</w:t>
            </w:r>
          </w:p>
        </w:tc>
        <w:tc>
          <w:tcPr>
            <w:tcW w:w="0" w:type="auto"/>
            <w:shd w:val="clear" w:color="auto" w:fill="auto"/>
            <w:tcMar>
              <w:top w:w="30" w:type="dxa"/>
              <w:left w:w="30" w:type="dxa"/>
              <w:bottom w:w="30" w:type="dxa"/>
              <w:right w:w="30" w:type="dxa"/>
            </w:tcMar>
            <w:vAlign w:val="center"/>
            <w:hideMark/>
          </w:tcPr>
          <w:p w:rsidR="006F1A4C" w:rsidRDefault="00330EEB">
            <w:pPr>
              <w:pStyle w:val="P68B1DB1-Normal11"/>
              <w:spacing w:before="150" w:after="150" w:line="240" w:lineRule="auto"/>
              <w:jc w:val="right"/>
            </w:pPr>
            <w:r>
              <w:t>97.7</w:t>
            </w:r>
          </w:p>
        </w:tc>
      </w:tr>
    </w:tbl>
    <w:p w:rsidR="006F1A4C" w:rsidRDefault="006F1A4C">
      <w:pPr>
        <w:tabs>
          <w:tab w:val="left" w:pos="709"/>
        </w:tabs>
        <w:spacing w:after="240" w:line="276" w:lineRule="auto"/>
        <w:ind w:firstLine="567"/>
        <w:jc w:val="both"/>
        <w:rPr>
          <w:rFonts w:ascii="Times New Roman" w:eastAsia="Times New Roman" w:hAnsi="Times New Roman" w:cs="Times New Roman"/>
          <w:b/>
          <w:sz w:val="24"/>
        </w:rPr>
      </w:pPr>
    </w:p>
    <w:p w:rsidR="006F1A4C" w:rsidRDefault="00330EEB">
      <w:pPr>
        <w:pStyle w:val="P68B1DB1-ListParagraph12"/>
        <w:numPr>
          <w:ilvl w:val="0"/>
          <w:numId w:val="9"/>
        </w:numPr>
        <w:tabs>
          <w:tab w:val="left" w:pos="709"/>
        </w:tabs>
        <w:spacing w:after="240" w:line="276" w:lineRule="auto"/>
        <w:jc w:val="both"/>
      </w:pPr>
      <w:r>
        <w:t xml:space="preserve">Северозападен </w:t>
      </w:r>
      <w:r w:rsidR="00E33AF2">
        <w:rPr>
          <w:lang w:val="bg-BG"/>
        </w:rPr>
        <w:t>район</w:t>
      </w:r>
      <w:r>
        <w:t>:</w:t>
      </w:r>
    </w:p>
    <w:p w:rsidR="006F1A4C" w:rsidRDefault="00330EEB">
      <w:pPr>
        <w:pStyle w:val="Text2"/>
        <w:tabs>
          <w:tab w:val="clear" w:pos="2161"/>
          <w:tab w:val="left" w:pos="709"/>
          <w:tab w:val="left" w:leader="dot" w:pos="9072"/>
        </w:tabs>
        <w:spacing w:before="120" w:after="120" w:line="276" w:lineRule="auto"/>
        <w:ind w:left="0" w:firstLine="567"/>
      </w:pPr>
      <w:r>
        <w:t>Демография и география: Състои се от 51 общини с население от 667</w:t>
      </w:r>
      <w:r w:rsidR="003E7EA7">
        <w:rPr>
          <w:lang w:val="bg-BG"/>
        </w:rPr>
        <w:t xml:space="preserve"> </w:t>
      </w:r>
      <w:r>
        <w:t>763 души с площ от 19 070 km².</w:t>
      </w:r>
    </w:p>
    <w:p w:rsidR="006F1A4C" w:rsidRDefault="00E33AF2">
      <w:pPr>
        <w:pStyle w:val="P68B1DB1-Normal11"/>
        <w:tabs>
          <w:tab w:val="left" w:pos="709"/>
        </w:tabs>
        <w:spacing w:after="240" w:line="276" w:lineRule="auto"/>
        <w:ind w:firstLine="567"/>
        <w:jc w:val="both"/>
      </w:pPr>
      <w:r>
        <w:rPr>
          <w:lang w:val="bg-BG"/>
        </w:rPr>
        <w:t>Покритие</w:t>
      </w:r>
      <w:r w:rsidR="00330EEB">
        <w:t>:</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E33AF2">
        <w:rPr>
          <w:lang w:val="bg-BG"/>
        </w:rPr>
        <w:t>свързаност</w:t>
      </w:r>
      <w:r>
        <w:t xml:space="preserve"> с капацитет 4G </w:t>
      </w:r>
      <w:r w:rsidR="003E7EA7">
        <w:t>-</w:t>
      </w:r>
      <w:r>
        <w:t xml:space="preserve"> 10</w:t>
      </w:r>
      <w:r w:rsidR="003E7EA7">
        <w:t>-</w:t>
      </w:r>
      <w:r>
        <w:t xml:space="preserve">100 </w:t>
      </w:r>
      <w:proofErr w:type="spellStart"/>
      <w:r>
        <w:t>Mbps</w:t>
      </w:r>
      <w:proofErr w:type="spellEnd"/>
      <w:r>
        <w:t xml:space="preserve"> </w:t>
      </w:r>
      <w:r w:rsidR="003E7EA7">
        <w:t>-</w:t>
      </w:r>
      <w:r>
        <w:t xml:space="preserve"> </w:t>
      </w:r>
      <w:r>
        <w:rPr>
          <w:color w:val="000000"/>
        </w:rPr>
        <w:t>703,23</w:t>
      </w:r>
      <w:r>
        <w:t xml:space="preserve">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E33AF2">
        <w:rPr>
          <w:lang w:val="bg-BG"/>
        </w:rPr>
        <w:t>свързаност</w:t>
      </w:r>
      <w:r>
        <w:t xml:space="preserve">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11 552,19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E33AF2">
        <w:rPr>
          <w:lang w:val="bg-BG"/>
        </w:rPr>
        <w:t>свързаност</w:t>
      </w:r>
      <w:r>
        <w:t xml:space="preserve"> капацитет 5 G </w:t>
      </w:r>
      <w:r w:rsidR="003E7EA7">
        <w:t>-</w:t>
      </w:r>
      <w:r>
        <w:t xml:space="preserve"> над 1Gbps </w:t>
      </w:r>
      <w:r w:rsidR="003E7EA7">
        <w:t>-</w:t>
      </w:r>
      <w:r>
        <w:t xml:space="preserve"> 436,56 km²</w:t>
      </w:r>
    </w:p>
    <w:p w:rsidR="006F1A4C" w:rsidRDefault="00E33AF2">
      <w:pPr>
        <w:pStyle w:val="P68B1DB1-Normal11"/>
        <w:tabs>
          <w:tab w:val="left" w:pos="709"/>
          <w:tab w:val="left" w:leader="dot" w:pos="9072"/>
        </w:tabs>
        <w:spacing w:before="120" w:after="120" w:line="276" w:lineRule="auto"/>
        <w:ind w:firstLine="567"/>
        <w:jc w:val="both"/>
      </w:pPr>
      <w:r w:rsidRPr="00E33AF2">
        <w:t xml:space="preserve">Площ с фиксирана свързаност </w:t>
      </w:r>
      <w:r w:rsidR="00330EEB">
        <w:t xml:space="preserve">с капацитет до 100 Mbps - </w:t>
      </w:r>
      <w:r w:rsidR="00330EEB">
        <w:rPr>
          <w:color w:val="000000"/>
        </w:rPr>
        <w:t>3,13</w:t>
      </w:r>
      <w:r w:rsidR="00330EEB">
        <w:t xml:space="preserve"> km²</w:t>
      </w:r>
    </w:p>
    <w:p w:rsidR="006F1A4C" w:rsidRDefault="00E33AF2">
      <w:pPr>
        <w:pStyle w:val="P68B1DB1-Normal5"/>
        <w:tabs>
          <w:tab w:val="left" w:pos="709"/>
          <w:tab w:val="left" w:leader="dot" w:pos="9072"/>
        </w:tabs>
        <w:spacing w:before="120" w:after="120" w:line="276" w:lineRule="auto"/>
        <w:ind w:firstLine="567"/>
        <w:jc w:val="both"/>
      </w:pPr>
      <w:r w:rsidRPr="00E33AF2">
        <w:t xml:space="preserve">Площ с фиксирана свързаност </w:t>
      </w:r>
      <w:r w:rsidR="00330EEB">
        <w:t>със 100</w:t>
      </w:r>
      <w:r w:rsidR="003E7EA7">
        <w:t>-</w:t>
      </w:r>
      <w:r w:rsidR="00330EEB">
        <w:t xml:space="preserve">300 </w:t>
      </w:r>
      <w:proofErr w:type="spellStart"/>
      <w:r w:rsidR="00330EEB">
        <w:t>Mbps</w:t>
      </w:r>
      <w:proofErr w:type="spellEnd"/>
      <w:r w:rsidR="00330EEB">
        <w:t xml:space="preserve"> капацитет </w:t>
      </w:r>
      <w:r w:rsidR="003E7EA7">
        <w:t>-</w:t>
      </w:r>
      <w:r w:rsidR="00330EEB">
        <w:t xml:space="preserve"> 17,89 km²</w:t>
      </w:r>
    </w:p>
    <w:p w:rsidR="006F1A4C" w:rsidRDefault="00E33AF2">
      <w:pPr>
        <w:pStyle w:val="P68B1DB1-Normal5"/>
        <w:tabs>
          <w:tab w:val="left" w:pos="709"/>
          <w:tab w:val="left" w:leader="dot" w:pos="9072"/>
        </w:tabs>
        <w:spacing w:before="120" w:after="120" w:line="276" w:lineRule="auto"/>
        <w:ind w:firstLine="567"/>
        <w:jc w:val="both"/>
      </w:pPr>
      <w:r w:rsidRPr="00E33AF2">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11,69 km²</w:t>
      </w:r>
    </w:p>
    <w:p w:rsidR="006F1A4C" w:rsidRDefault="00E33AF2">
      <w:pPr>
        <w:pStyle w:val="P68B1DB1-Normal5"/>
        <w:tabs>
          <w:tab w:val="left" w:pos="709"/>
          <w:tab w:val="left" w:leader="dot" w:pos="9072"/>
        </w:tabs>
        <w:spacing w:before="120" w:after="120" w:line="276" w:lineRule="auto"/>
        <w:ind w:firstLine="567"/>
        <w:jc w:val="both"/>
      </w:pPr>
      <w:r w:rsidRPr="00E33AF2">
        <w:t xml:space="preserve">Площ с фиксирана свързаност </w:t>
      </w:r>
      <w:r w:rsidR="00330EEB">
        <w:t xml:space="preserve">с капацитет над 1Gbps </w:t>
      </w:r>
      <w:r w:rsidR="003E7EA7">
        <w:t>-</w:t>
      </w:r>
      <w:r w:rsidR="00330EEB">
        <w:t xml:space="preserve"> 246,54 km²</w:t>
      </w:r>
    </w:p>
    <w:p w:rsidR="006F1A4C" w:rsidRDefault="00E33AF2">
      <w:pPr>
        <w:pStyle w:val="P68B1DB1-ListParagraph13"/>
        <w:numPr>
          <w:ilvl w:val="0"/>
          <w:numId w:val="2"/>
        </w:numPr>
        <w:tabs>
          <w:tab w:val="left" w:pos="709"/>
        </w:tabs>
        <w:spacing w:after="240" w:line="276" w:lineRule="auto"/>
        <w:jc w:val="both"/>
      </w:pPr>
      <w:r>
        <w:rPr>
          <w:lang w:val="bg-BG"/>
        </w:rPr>
        <w:t xml:space="preserve"> </w:t>
      </w:r>
      <w:r w:rsidR="00330EEB">
        <w:t>4G покритието със скорости между 10</w:t>
      </w:r>
      <w:r w:rsidR="003E7EA7">
        <w:t>-</w:t>
      </w:r>
      <w:r w:rsidR="00330EEB">
        <w:t xml:space="preserve">100 </w:t>
      </w:r>
      <w:proofErr w:type="spellStart"/>
      <w:r w:rsidR="00330EEB">
        <w:t>Mbps</w:t>
      </w:r>
      <w:proofErr w:type="spellEnd"/>
      <w:r w:rsidR="00330EEB">
        <w:t xml:space="preserve"> засяга само 8 % от площта, докато по-високата скорост от 100</w:t>
      </w:r>
      <w:r w:rsidR="003E7EA7">
        <w:t>-</w:t>
      </w:r>
      <w:r w:rsidR="00330EEB">
        <w:t>100</w:t>
      </w:r>
      <w:r w:rsidR="003E7EA7">
        <w:rPr>
          <w:lang w:val="bg-BG"/>
        </w:rPr>
        <w:t>0</w:t>
      </w:r>
      <w:r w:rsidR="00330EEB">
        <w:t xml:space="preserve"> </w:t>
      </w:r>
      <w:proofErr w:type="spellStart"/>
      <w:r w:rsidR="00330EEB">
        <w:t>Mbps</w:t>
      </w:r>
      <w:proofErr w:type="spellEnd"/>
      <w:r w:rsidR="00330EEB">
        <w:t xml:space="preserve"> обхваща 90 %.</w:t>
      </w:r>
    </w:p>
    <w:p w:rsidR="006F1A4C" w:rsidRDefault="00E33AF2">
      <w:pPr>
        <w:pStyle w:val="P68B1DB1-ListParagraph13"/>
        <w:numPr>
          <w:ilvl w:val="0"/>
          <w:numId w:val="2"/>
        </w:numPr>
        <w:tabs>
          <w:tab w:val="left" w:pos="709"/>
        </w:tabs>
        <w:spacing w:after="240" w:line="276" w:lineRule="auto"/>
        <w:jc w:val="both"/>
      </w:pPr>
      <w:r>
        <w:rPr>
          <w:lang w:val="bg-BG"/>
        </w:rPr>
        <w:t xml:space="preserve"> </w:t>
      </w:r>
      <w:r w:rsidR="00330EEB">
        <w:t>5G технологията, предлагаща скорости над 1 Gbps, се развива скромно на 2 %.</w:t>
      </w:r>
    </w:p>
    <w:p w:rsidR="006F1A4C" w:rsidRDefault="00330EEB">
      <w:pPr>
        <w:pStyle w:val="P68B1DB1-ListParagraph12"/>
        <w:numPr>
          <w:ilvl w:val="0"/>
          <w:numId w:val="9"/>
        </w:numPr>
        <w:tabs>
          <w:tab w:val="left" w:pos="709"/>
        </w:tabs>
        <w:spacing w:after="240" w:line="276" w:lineRule="auto"/>
        <w:jc w:val="both"/>
      </w:pPr>
      <w:r>
        <w:t xml:space="preserve">Северен централен </w:t>
      </w:r>
      <w:r w:rsidR="00E33AF2">
        <w:rPr>
          <w:lang w:val="bg-BG"/>
        </w:rPr>
        <w:t>район</w:t>
      </w:r>
      <w:r>
        <w:t>:</w:t>
      </w:r>
    </w:p>
    <w:p w:rsidR="006F1A4C" w:rsidRDefault="00330EEB">
      <w:pPr>
        <w:pStyle w:val="Text2"/>
        <w:tabs>
          <w:tab w:val="clear" w:pos="2161"/>
          <w:tab w:val="left" w:pos="709"/>
          <w:tab w:val="left" w:leader="dot" w:pos="9072"/>
        </w:tabs>
        <w:spacing w:before="120" w:after="120" w:line="276" w:lineRule="auto"/>
        <w:ind w:left="0" w:firstLine="567"/>
      </w:pPr>
      <w:r>
        <w:t>Демография и география: Включва 36 общини с население от 683</w:t>
      </w:r>
      <w:r w:rsidR="003E7EA7">
        <w:rPr>
          <w:lang w:val="bg-BG"/>
        </w:rPr>
        <w:t xml:space="preserve"> </w:t>
      </w:r>
      <w:r>
        <w:t>347 над 14 974 km².</w:t>
      </w:r>
    </w:p>
    <w:p w:rsidR="00E33AF2" w:rsidRDefault="00E33AF2">
      <w:pPr>
        <w:pStyle w:val="P68B1DB1-Normal11"/>
        <w:tabs>
          <w:tab w:val="left" w:pos="709"/>
          <w:tab w:val="left" w:leader="dot" w:pos="9072"/>
        </w:tabs>
        <w:spacing w:before="120" w:after="120" w:line="276" w:lineRule="auto"/>
        <w:ind w:firstLine="567"/>
        <w:jc w:val="both"/>
      </w:pPr>
      <w:r w:rsidRPr="00E33AF2">
        <w:t>Покритие:</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E33AF2">
        <w:rPr>
          <w:lang w:val="bg-BG"/>
        </w:rPr>
        <w:t>свързаност</w:t>
      </w:r>
      <w:r>
        <w:t xml:space="preserve"> с капацитет 4G </w:t>
      </w:r>
      <w:r w:rsidR="003E7EA7">
        <w:t>-</w:t>
      </w:r>
      <w:r>
        <w:t xml:space="preserve"> 10</w:t>
      </w:r>
      <w:r w:rsidR="003E7EA7">
        <w:t>-</w:t>
      </w:r>
      <w:r>
        <w:t xml:space="preserve">100 </w:t>
      </w:r>
      <w:proofErr w:type="spellStart"/>
      <w:r>
        <w:t>Mbps</w:t>
      </w:r>
      <w:proofErr w:type="spellEnd"/>
      <w:r>
        <w:t xml:space="preserve"> </w:t>
      </w:r>
      <w:r w:rsidR="003E7EA7">
        <w:t>-</w:t>
      </w:r>
      <w:r>
        <w:t xml:space="preserve"> </w:t>
      </w:r>
      <w:r>
        <w:rPr>
          <w:color w:val="000000"/>
        </w:rPr>
        <w:t>555,14</w:t>
      </w:r>
      <w:r>
        <w:t xml:space="preserve"> km²</w:t>
      </w:r>
    </w:p>
    <w:p w:rsidR="006F1A4C" w:rsidRDefault="00330EEB">
      <w:pPr>
        <w:pStyle w:val="P68B1DB1-Normal5"/>
        <w:tabs>
          <w:tab w:val="left" w:pos="709"/>
          <w:tab w:val="left" w:leader="dot" w:pos="9072"/>
        </w:tabs>
        <w:spacing w:before="120" w:after="120" w:line="276" w:lineRule="auto"/>
        <w:ind w:firstLine="567"/>
        <w:jc w:val="both"/>
      </w:pPr>
      <w:r>
        <w:t xml:space="preserve">Мобилна мрежа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10 298,25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мрежа с капацитет 5 G </w:t>
      </w:r>
      <w:r w:rsidR="003E7EA7">
        <w:t>-</w:t>
      </w:r>
      <w:r>
        <w:t xml:space="preserve"> над 1Gbps </w:t>
      </w:r>
      <w:r w:rsidR="003E7EA7">
        <w:t>-</w:t>
      </w:r>
      <w:r>
        <w:t xml:space="preserve"> 448,20 km²</w:t>
      </w:r>
    </w:p>
    <w:p w:rsidR="006F1A4C" w:rsidRDefault="00E33AF2">
      <w:pPr>
        <w:pStyle w:val="Text2"/>
        <w:tabs>
          <w:tab w:val="clear" w:pos="2161"/>
          <w:tab w:val="left" w:pos="709"/>
          <w:tab w:val="left" w:leader="dot" w:pos="9072"/>
        </w:tabs>
        <w:spacing w:before="120" w:after="120" w:line="276" w:lineRule="auto"/>
        <w:ind w:left="0" w:firstLine="567"/>
      </w:pPr>
      <w:r>
        <w:rPr>
          <w:lang w:val="bg-BG"/>
        </w:rPr>
        <w:t>Площ с</w:t>
      </w:r>
      <w:r>
        <w:t xml:space="preserve"> </w:t>
      </w:r>
      <w:r>
        <w:rPr>
          <w:lang w:val="bg-BG"/>
        </w:rPr>
        <w:t>фиксирана свързаност</w:t>
      </w:r>
      <w:r w:rsidR="00330EEB">
        <w:t xml:space="preserve"> с капацитет до 100 Mbps - </w:t>
      </w:r>
      <w:r w:rsidR="00330EEB">
        <w:rPr>
          <w:color w:val="000000"/>
        </w:rPr>
        <w:t>0</w:t>
      </w:r>
      <w:r w:rsidR="00330EEB">
        <w:t xml:space="preserve"> km²</w:t>
      </w:r>
    </w:p>
    <w:p w:rsidR="006F1A4C" w:rsidRDefault="00E33AF2">
      <w:pPr>
        <w:pStyle w:val="P68B1DB1-Text214"/>
        <w:tabs>
          <w:tab w:val="clear" w:pos="2161"/>
          <w:tab w:val="left" w:pos="709"/>
          <w:tab w:val="left" w:leader="dot" w:pos="9072"/>
        </w:tabs>
        <w:spacing w:before="120" w:after="120" w:line="276" w:lineRule="auto"/>
        <w:ind w:left="0" w:firstLine="567"/>
      </w:pPr>
      <w:r w:rsidRPr="00E33AF2">
        <w:t xml:space="preserve">Площ с фиксирана свързаност </w:t>
      </w:r>
      <w:r w:rsidR="00330EEB">
        <w:t>с капацитет 100</w:t>
      </w:r>
      <w:r w:rsidR="003E7EA7">
        <w:t>-</w:t>
      </w:r>
      <w:r w:rsidR="00330EEB">
        <w:t xml:space="preserve">300 </w:t>
      </w:r>
      <w:proofErr w:type="spellStart"/>
      <w:r w:rsidR="00330EEB">
        <w:t>Mbps</w:t>
      </w:r>
      <w:proofErr w:type="spellEnd"/>
      <w:r w:rsidR="00330EEB">
        <w:t xml:space="preserve"> </w:t>
      </w:r>
      <w:r w:rsidR="003E7EA7">
        <w:t>-</w:t>
      </w:r>
      <w:r w:rsidR="00330EEB">
        <w:t xml:space="preserve"> 95,96 km²</w:t>
      </w:r>
    </w:p>
    <w:p w:rsidR="006F1A4C" w:rsidRDefault="00E33AF2">
      <w:pPr>
        <w:pStyle w:val="P68B1DB1-Text214"/>
        <w:tabs>
          <w:tab w:val="clear" w:pos="2161"/>
          <w:tab w:val="left" w:pos="709"/>
          <w:tab w:val="left" w:leader="dot" w:pos="9072"/>
        </w:tabs>
        <w:spacing w:before="120" w:after="120" w:line="276" w:lineRule="auto"/>
        <w:ind w:left="0" w:firstLine="567"/>
      </w:pPr>
      <w:r w:rsidRPr="00E33AF2">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19,04 km²</w:t>
      </w:r>
    </w:p>
    <w:p w:rsidR="006F1A4C" w:rsidRDefault="00E33AF2">
      <w:pPr>
        <w:pStyle w:val="P68B1DB1-Text214"/>
        <w:tabs>
          <w:tab w:val="clear" w:pos="2161"/>
          <w:tab w:val="left" w:pos="709"/>
          <w:tab w:val="left" w:leader="dot" w:pos="9072"/>
        </w:tabs>
        <w:spacing w:before="120" w:after="120" w:line="276" w:lineRule="auto"/>
        <w:ind w:left="0" w:firstLine="567"/>
      </w:pPr>
      <w:r w:rsidRPr="00E33AF2">
        <w:t xml:space="preserve">Площ с фиксирана свързаност </w:t>
      </w:r>
      <w:r w:rsidR="00330EEB">
        <w:t xml:space="preserve">с капацитет над 1Gbps </w:t>
      </w:r>
      <w:r w:rsidR="003E7EA7">
        <w:t>-</w:t>
      </w:r>
      <w:r w:rsidR="00330EEB">
        <w:t xml:space="preserve"> 236,92 km²</w:t>
      </w:r>
    </w:p>
    <w:p w:rsidR="006F1A4C" w:rsidRDefault="00E33AF2">
      <w:pPr>
        <w:pStyle w:val="P68B1DB1-ListParagraph13"/>
        <w:numPr>
          <w:ilvl w:val="0"/>
          <w:numId w:val="2"/>
        </w:numPr>
        <w:tabs>
          <w:tab w:val="left" w:pos="709"/>
        </w:tabs>
        <w:spacing w:after="240" w:line="276" w:lineRule="auto"/>
        <w:jc w:val="both"/>
      </w:pPr>
      <w:r>
        <w:rPr>
          <w:lang w:val="bg-BG"/>
        </w:rPr>
        <w:t xml:space="preserve"> </w:t>
      </w:r>
      <w:r w:rsidR="00330EEB">
        <w:t>4G услугите с по-ниска скорост обхващат 6 % от региона, докато по-високото ниво обхваща 91 %.</w:t>
      </w:r>
    </w:p>
    <w:p w:rsidR="006F1A4C" w:rsidRDefault="003B7819">
      <w:pPr>
        <w:pStyle w:val="P68B1DB1-ListParagraph13"/>
        <w:numPr>
          <w:ilvl w:val="0"/>
          <w:numId w:val="2"/>
        </w:numPr>
        <w:tabs>
          <w:tab w:val="left" w:pos="709"/>
        </w:tabs>
        <w:spacing w:after="240" w:line="276" w:lineRule="auto"/>
        <w:jc w:val="both"/>
      </w:pPr>
      <w:r>
        <w:rPr>
          <w:lang w:val="bg-BG"/>
        </w:rPr>
        <w:t xml:space="preserve"> </w:t>
      </w:r>
      <w:r w:rsidR="00330EEB">
        <w:t xml:space="preserve">5G покритието е малко по-добро, отколкото в Северозападния регион </w:t>
      </w:r>
      <w:r w:rsidR="003E7EA7">
        <w:t>-</w:t>
      </w:r>
      <w:r w:rsidR="00330EEB">
        <w:t xml:space="preserve"> 3 %.</w:t>
      </w:r>
    </w:p>
    <w:p w:rsidR="006F1A4C" w:rsidRDefault="00330EEB">
      <w:pPr>
        <w:pStyle w:val="P68B1DB1-ListParagraph12"/>
        <w:numPr>
          <w:ilvl w:val="0"/>
          <w:numId w:val="9"/>
        </w:numPr>
        <w:tabs>
          <w:tab w:val="left" w:pos="709"/>
        </w:tabs>
        <w:spacing w:after="240" w:line="276" w:lineRule="auto"/>
        <w:jc w:val="both"/>
      </w:pPr>
      <w:r>
        <w:t xml:space="preserve">Североизточен </w:t>
      </w:r>
      <w:r w:rsidR="00A54505">
        <w:rPr>
          <w:lang w:val="bg-BG"/>
        </w:rPr>
        <w:t>район</w:t>
      </w:r>
      <w:r>
        <w:t>:</w:t>
      </w:r>
    </w:p>
    <w:p w:rsidR="006F1A4C" w:rsidRDefault="00330EEB">
      <w:pPr>
        <w:pStyle w:val="Text2"/>
        <w:tabs>
          <w:tab w:val="clear" w:pos="2161"/>
          <w:tab w:val="left" w:pos="709"/>
          <w:tab w:val="left" w:leader="dot" w:pos="9072"/>
        </w:tabs>
        <w:spacing w:before="120" w:after="120" w:line="276" w:lineRule="auto"/>
        <w:ind w:left="0" w:firstLine="567"/>
      </w:pPr>
      <w:r>
        <w:t>Демография и география: Състои се от 35 общини, с население от 825</w:t>
      </w:r>
      <w:r w:rsidR="003E7EA7">
        <w:rPr>
          <w:lang w:val="bg-BG"/>
        </w:rPr>
        <w:t xml:space="preserve"> </w:t>
      </w:r>
      <w:r>
        <w:t>009 души, разпределени на 14 487 km².</w:t>
      </w:r>
    </w:p>
    <w:p w:rsidR="006F1A4C" w:rsidRDefault="00145E5C">
      <w:pPr>
        <w:pStyle w:val="P68B1DB1-Normal11"/>
        <w:tabs>
          <w:tab w:val="left" w:pos="709"/>
        </w:tabs>
        <w:spacing w:after="240" w:line="276" w:lineRule="auto"/>
        <w:ind w:firstLine="567"/>
        <w:jc w:val="both"/>
      </w:pPr>
      <w:r w:rsidRPr="00145E5C">
        <w:t>Покритие:</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145E5C">
        <w:rPr>
          <w:lang w:val="bg-BG"/>
        </w:rPr>
        <w:t xml:space="preserve">свързаност </w:t>
      </w:r>
      <w:r>
        <w:t xml:space="preserve">с капацитет 4G </w:t>
      </w:r>
      <w:r w:rsidR="003E7EA7">
        <w:t>-</w:t>
      </w:r>
      <w:r>
        <w:t xml:space="preserve"> 10</w:t>
      </w:r>
      <w:r w:rsidR="003E7EA7">
        <w:t>-</w:t>
      </w:r>
      <w:r>
        <w:t xml:space="preserve">100 </w:t>
      </w:r>
      <w:proofErr w:type="spellStart"/>
      <w:r>
        <w:t>Mbps</w:t>
      </w:r>
      <w:proofErr w:type="spellEnd"/>
      <w:r>
        <w:t xml:space="preserve"> </w:t>
      </w:r>
      <w:r w:rsidR="003E7EA7">
        <w:t>-</w:t>
      </w:r>
      <w:r>
        <w:t xml:space="preserve"> </w:t>
      </w:r>
      <w:r>
        <w:rPr>
          <w:color w:val="000000"/>
        </w:rPr>
        <w:t>623,07</w:t>
      </w:r>
      <w:r>
        <w:t xml:space="preserve">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145E5C" w:rsidRPr="00145E5C">
        <w:t>свързаност</w:t>
      </w:r>
      <w:r>
        <w:t xml:space="preserve">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9 844,78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145E5C" w:rsidRPr="00145E5C">
        <w:t>свързаност</w:t>
      </w:r>
      <w:r>
        <w:t xml:space="preserve"> с капацитет 5 G </w:t>
      </w:r>
      <w:r w:rsidR="003E7EA7">
        <w:t>-</w:t>
      </w:r>
      <w:r>
        <w:t xml:space="preserve"> над 1Gbps </w:t>
      </w:r>
      <w:r w:rsidR="003E7EA7">
        <w:t>-</w:t>
      </w:r>
      <w:r>
        <w:t xml:space="preserve"> 670,27 km²</w:t>
      </w:r>
    </w:p>
    <w:p w:rsidR="006F1A4C" w:rsidRDefault="00145E5C">
      <w:pPr>
        <w:pStyle w:val="P68B1DB1-Normal5"/>
        <w:tabs>
          <w:tab w:val="left" w:pos="709"/>
          <w:tab w:val="left" w:leader="dot" w:pos="9072"/>
        </w:tabs>
        <w:spacing w:before="120" w:after="120" w:line="276" w:lineRule="auto"/>
        <w:ind w:firstLine="567"/>
        <w:jc w:val="both"/>
      </w:pPr>
      <w:r w:rsidRPr="00145E5C">
        <w:t xml:space="preserve">Площ с фиксирана свързаност </w:t>
      </w:r>
      <w:r w:rsidR="00330EEB">
        <w:t xml:space="preserve">с капацитет до 100 </w:t>
      </w:r>
      <w:proofErr w:type="spellStart"/>
      <w:r w:rsidR="00330EEB">
        <w:t>Mbps</w:t>
      </w:r>
      <w:proofErr w:type="spellEnd"/>
      <w:r w:rsidR="00330EEB">
        <w:t xml:space="preserve"> </w:t>
      </w:r>
      <w:r w:rsidR="003E7EA7">
        <w:t>-</w:t>
      </w:r>
      <w:r w:rsidR="00330EEB">
        <w:t xml:space="preserve"> 0 km²</w:t>
      </w:r>
    </w:p>
    <w:p w:rsidR="006F1A4C" w:rsidRDefault="00145E5C">
      <w:pPr>
        <w:pStyle w:val="P68B1DB1-Normal5"/>
        <w:tabs>
          <w:tab w:val="left" w:pos="709"/>
          <w:tab w:val="left" w:leader="dot" w:pos="9072"/>
        </w:tabs>
        <w:spacing w:before="120" w:after="120" w:line="276" w:lineRule="auto"/>
        <w:ind w:firstLine="567"/>
        <w:jc w:val="both"/>
      </w:pPr>
      <w:r w:rsidRPr="00145E5C">
        <w:t xml:space="preserve">Площ с фиксирана свързаност </w:t>
      </w:r>
      <w:r w:rsidR="00330EEB">
        <w:t>с капацитет 100</w:t>
      </w:r>
      <w:r w:rsidR="003E7EA7">
        <w:t>-</w:t>
      </w:r>
      <w:r w:rsidR="00330EEB">
        <w:t xml:space="preserve">300 </w:t>
      </w:r>
      <w:proofErr w:type="spellStart"/>
      <w:r w:rsidR="00330EEB">
        <w:t>Mbps</w:t>
      </w:r>
      <w:proofErr w:type="spellEnd"/>
      <w:r w:rsidR="00330EEB">
        <w:t xml:space="preserve"> </w:t>
      </w:r>
      <w:r w:rsidR="003E7EA7">
        <w:t>-</w:t>
      </w:r>
      <w:r w:rsidR="00330EEB">
        <w:t xml:space="preserve"> 14,12 km²</w:t>
      </w:r>
    </w:p>
    <w:p w:rsidR="006F1A4C" w:rsidRDefault="00145E5C">
      <w:pPr>
        <w:pStyle w:val="P68B1DB1-Normal5"/>
        <w:tabs>
          <w:tab w:val="left" w:pos="709"/>
          <w:tab w:val="left" w:leader="dot" w:pos="9072"/>
        </w:tabs>
        <w:spacing w:before="120" w:after="120" w:line="276" w:lineRule="auto"/>
        <w:ind w:firstLine="567"/>
        <w:jc w:val="both"/>
      </w:pPr>
      <w:r w:rsidRPr="00145E5C">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7,71 km²</w:t>
      </w:r>
    </w:p>
    <w:p w:rsidR="006F1A4C" w:rsidRDefault="00145E5C">
      <w:pPr>
        <w:pStyle w:val="P68B1DB1-Normal5"/>
        <w:tabs>
          <w:tab w:val="left" w:pos="709"/>
          <w:tab w:val="left" w:leader="dot" w:pos="9072"/>
        </w:tabs>
        <w:spacing w:before="120" w:after="120" w:line="276" w:lineRule="auto"/>
        <w:ind w:firstLine="567"/>
        <w:jc w:val="both"/>
      </w:pPr>
      <w:r w:rsidRPr="00145E5C">
        <w:t xml:space="preserve">Площ с фиксирана свързаност </w:t>
      </w:r>
      <w:r w:rsidR="00330EEB">
        <w:t xml:space="preserve">с капацитет над 1Gbps </w:t>
      </w:r>
      <w:r w:rsidR="003E7EA7">
        <w:t>-</w:t>
      </w:r>
      <w:r w:rsidR="00330EEB">
        <w:t xml:space="preserve"> 227,91 km²</w:t>
      </w:r>
    </w:p>
    <w:p w:rsidR="006F1A4C" w:rsidRDefault="003B7819">
      <w:pPr>
        <w:pStyle w:val="P68B1DB1-ListParagraph13"/>
        <w:numPr>
          <w:ilvl w:val="0"/>
          <w:numId w:val="2"/>
        </w:numPr>
        <w:tabs>
          <w:tab w:val="left" w:pos="709"/>
        </w:tabs>
        <w:spacing w:after="240" w:line="276" w:lineRule="auto"/>
        <w:jc w:val="both"/>
      </w:pPr>
      <w:r>
        <w:rPr>
          <w:lang w:val="bg-BG"/>
        </w:rPr>
        <w:t xml:space="preserve"> </w:t>
      </w:r>
      <w:r w:rsidR="00330EEB">
        <w:t>Районът се радва на 7 % покритие за 4G при 10</w:t>
      </w:r>
      <w:r w:rsidR="003E7EA7">
        <w:t>-</w:t>
      </w:r>
      <w:r w:rsidR="00330EEB">
        <w:t xml:space="preserve">100 </w:t>
      </w:r>
      <w:proofErr w:type="spellStart"/>
      <w:r w:rsidR="00330EEB">
        <w:t>Mbps</w:t>
      </w:r>
      <w:proofErr w:type="spellEnd"/>
      <w:r w:rsidR="00330EEB">
        <w:t xml:space="preserve"> и 88 % за 100</w:t>
      </w:r>
      <w:r w:rsidR="003E7EA7">
        <w:t>-</w:t>
      </w:r>
      <w:r w:rsidR="00330EEB">
        <w:t>100</w:t>
      </w:r>
      <w:r w:rsidR="003E7EA7">
        <w:rPr>
          <w:lang w:val="bg-BG"/>
        </w:rPr>
        <w:t>0</w:t>
      </w:r>
      <w:r w:rsidR="00330EEB">
        <w:t xml:space="preserve"> </w:t>
      </w:r>
      <w:proofErr w:type="spellStart"/>
      <w:r w:rsidR="00330EEB">
        <w:t>Mbps</w:t>
      </w:r>
      <w:proofErr w:type="spellEnd"/>
      <w:r w:rsidR="00330EEB">
        <w:t>.</w:t>
      </w:r>
    </w:p>
    <w:p w:rsidR="006F1A4C" w:rsidRDefault="003B7819">
      <w:pPr>
        <w:pStyle w:val="P68B1DB1-ListParagraph13"/>
        <w:numPr>
          <w:ilvl w:val="0"/>
          <w:numId w:val="2"/>
        </w:numPr>
        <w:tabs>
          <w:tab w:val="left" w:pos="709"/>
        </w:tabs>
        <w:spacing w:after="240" w:line="276" w:lineRule="auto"/>
        <w:jc w:val="both"/>
      </w:pPr>
      <w:r>
        <w:rPr>
          <w:lang w:val="bg-BG"/>
        </w:rPr>
        <w:t xml:space="preserve"> </w:t>
      </w:r>
      <w:r w:rsidR="00330EEB">
        <w:t xml:space="preserve">5G достъпността е 5 %, което показва постепенно </w:t>
      </w:r>
      <w:r>
        <w:rPr>
          <w:lang w:val="bg-BG"/>
        </w:rPr>
        <w:t>навлизане</w:t>
      </w:r>
      <w:r w:rsidR="00330EEB">
        <w:t xml:space="preserve"> на съвременни мрежови технологии.</w:t>
      </w:r>
    </w:p>
    <w:p w:rsidR="006F1A4C" w:rsidRDefault="00330EEB">
      <w:pPr>
        <w:pStyle w:val="P68B1DB1-ListParagraph12"/>
        <w:numPr>
          <w:ilvl w:val="0"/>
          <w:numId w:val="9"/>
        </w:numPr>
        <w:tabs>
          <w:tab w:val="left" w:pos="709"/>
        </w:tabs>
        <w:spacing w:after="240" w:line="276" w:lineRule="auto"/>
        <w:jc w:val="both"/>
      </w:pPr>
      <w:r>
        <w:t xml:space="preserve">Югоизточен </w:t>
      </w:r>
      <w:r w:rsidR="00A54505">
        <w:rPr>
          <w:lang w:val="bg-BG"/>
        </w:rPr>
        <w:t>район</w:t>
      </w:r>
      <w:r>
        <w:t>:</w:t>
      </w:r>
    </w:p>
    <w:p w:rsidR="006F1A4C" w:rsidRDefault="00330EEB">
      <w:pPr>
        <w:pStyle w:val="P68B1DB1-Normal6"/>
        <w:tabs>
          <w:tab w:val="left" w:pos="709"/>
        </w:tabs>
        <w:spacing w:after="240" w:line="276" w:lineRule="auto"/>
        <w:ind w:firstLine="567"/>
        <w:jc w:val="both"/>
        <w:rPr>
          <w:rFonts w:eastAsia="Times New Roman"/>
          <w:b/>
        </w:rPr>
      </w:pPr>
      <w:r>
        <w:t>Демография и география: Обхваща 33 общини с общо население от 1302828 души на площ от 14 645,1 km².</w:t>
      </w:r>
    </w:p>
    <w:p w:rsidR="006F1A4C" w:rsidRDefault="00A54505">
      <w:pPr>
        <w:pStyle w:val="P68B1DB1-Normal11"/>
        <w:tabs>
          <w:tab w:val="left" w:pos="709"/>
        </w:tabs>
        <w:spacing w:after="240" w:line="276" w:lineRule="auto"/>
        <w:ind w:firstLine="567"/>
        <w:jc w:val="both"/>
      </w:pPr>
      <w:r>
        <w:rPr>
          <w:lang w:val="bg-BG"/>
        </w:rPr>
        <w:t>Покритие</w:t>
      </w:r>
      <w:r w:rsidR="00330EEB">
        <w:t>:</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A54505">
        <w:rPr>
          <w:lang w:val="bg-BG"/>
        </w:rPr>
        <w:t>свързаност</w:t>
      </w:r>
      <w:r>
        <w:t xml:space="preserve"> с капацитет 4G </w:t>
      </w:r>
      <w:r w:rsidR="003E7EA7">
        <w:t>-</w:t>
      </w:r>
      <w:r>
        <w:t xml:space="preserve"> 10</w:t>
      </w:r>
      <w:r w:rsidR="003E7EA7">
        <w:t>-</w:t>
      </w:r>
      <w:r>
        <w:t xml:space="preserve">100 </w:t>
      </w:r>
      <w:proofErr w:type="spellStart"/>
      <w:r>
        <w:t>Mbps</w:t>
      </w:r>
      <w:proofErr w:type="spellEnd"/>
      <w:r>
        <w:t xml:space="preserve"> </w:t>
      </w:r>
      <w:r w:rsidR="003E7EA7">
        <w:t>-</w:t>
      </w:r>
      <w:r>
        <w:t xml:space="preserve"> </w:t>
      </w:r>
      <w:r>
        <w:rPr>
          <w:color w:val="000000"/>
        </w:rPr>
        <w:t>753,67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A54505" w:rsidRPr="00A54505">
        <w:t>свързаност</w:t>
      </w:r>
      <w:r>
        <w:t xml:space="preserve">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15 090,49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A54505" w:rsidRPr="00A54505">
        <w:t>свързаност</w:t>
      </w:r>
      <w:r>
        <w:t xml:space="preserve"> с капацитет 5 G </w:t>
      </w:r>
      <w:r w:rsidR="003E7EA7">
        <w:t>-</w:t>
      </w:r>
      <w:r>
        <w:t xml:space="preserve"> над 1Gbps </w:t>
      </w:r>
      <w:r w:rsidR="003E7EA7">
        <w:t>-</w:t>
      </w:r>
      <w:r>
        <w:t xml:space="preserve"> 852,76 km²</w:t>
      </w:r>
    </w:p>
    <w:p w:rsidR="006F1A4C" w:rsidRDefault="00A54505">
      <w:pPr>
        <w:pStyle w:val="P68B1DB1-Normal5"/>
        <w:tabs>
          <w:tab w:val="left" w:pos="709"/>
          <w:tab w:val="left" w:leader="dot" w:pos="9072"/>
        </w:tabs>
        <w:spacing w:before="120" w:after="120" w:line="276" w:lineRule="auto"/>
        <w:ind w:firstLine="567"/>
        <w:jc w:val="both"/>
      </w:pPr>
      <w:r w:rsidRPr="00A54505">
        <w:t xml:space="preserve">Площ с фиксирана свързаност </w:t>
      </w:r>
      <w:r w:rsidR="00330EEB">
        <w:t xml:space="preserve">с капацитет до 100 </w:t>
      </w:r>
      <w:proofErr w:type="spellStart"/>
      <w:r w:rsidR="00330EEB">
        <w:t>Mbps</w:t>
      </w:r>
      <w:proofErr w:type="spellEnd"/>
      <w:r w:rsidR="00330EEB">
        <w:t xml:space="preserve"> </w:t>
      </w:r>
      <w:r w:rsidR="003E7EA7">
        <w:t>-</w:t>
      </w:r>
      <w:r w:rsidR="00330EEB">
        <w:t xml:space="preserve"> 1,87 km²</w:t>
      </w:r>
    </w:p>
    <w:p w:rsidR="006F1A4C" w:rsidRDefault="00A54505">
      <w:pPr>
        <w:pStyle w:val="P68B1DB1-Normal5"/>
        <w:tabs>
          <w:tab w:val="left" w:pos="709"/>
          <w:tab w:val="left" w:leader="dot" w:pos="9072"/>
        </w:tabs>
        <w:spacing w:before="120" w:after="120" w:line="276" w:lineRule="auto"/>
        <w:ind w:firstLine="567"/>
        <w:jc w:val="both"/>
      </w:pPr>
      <w:r w:rsidRPr="00A54505">
        <w:t xml:space="preserve">Площ с фиксирана свързаност </w:t>
      </w:r>
      <w:r w:rsidR="00330EEB">
        <w:t>с капацитет 100</w:t>
      </w:r>
      <w:r w:rsidR="003E7EA7">
        <w:t>-</w:t>
      </w:r>
      <w:r w:rsidR="00330EEB">
        <w:t xml:space="preserve">300 </w:t>
      </w:r>
      <w:proofErr w:type="spellStart"/>
      <w:r w:rsidR="00330EEB">
        <w:t>Mbps</w:t>
      </w:r>
      <w:proofErr w:type="spellEnd"/>
      <w:r w:rsidR="00330EEB">
        <w:t xml:space="preserve"> </w:t>
      </w:r>
      <w:r w:rsidR="003E7EA7">
        <w:t>-</w:t>
      </w:r>
      <w:r w:rsidR="00330EEB">
        <w:t xml:space="preserve"> 11,75 km²</w:t>
      </w:r>
    </w:p>
    <w:p w:rsidR="006F1A4C" w:rsidRDefault="00A54505">
      <w:pPr>
        <w:pStyle w:val="P68B1DB1-Normal5"/>
        <w:tabs>
          <w:tab w:val="left" w:pos="709"/>
          <w:tab w:val="left" w:leader="dot" w:pos="9072"/>
        </w:tabs>
        <w:spacing w:before="120" w:after="120" w:line="276" w:lineRule="auto"/>
        <w:ind w:firstLine="567"/>
        <w:jc w:val="both"/>
      </w:pPr>
      <w:r w:rsidRPr="00A54505">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16,96 km²</w:t>
      </w:r>
    </w:p>
    <w:p w:rsidR="006F1A4C" w:rsidRDefault="00A54505">
      <w:pPr>
        <w:pStyle w:val="P68B1DB1-Normal5"/>
        <w:tabs>
          <w:tab w:val="left" w:pos="709"/>
          <w:tab w:val="left" w:leader="dot" w:pos="9072"/>
        </w:tabs>
        <w:spacing w:before="120" w:after="120" w:line="276" w:lineRule="auto"/>
        <w:ind w:firstLine="567"/>
        <w:jc w:val="both"/>
      </w:pPr>
      <w:r w:rsidRPr="00A54505">
        <w:t xml:space="preserve">Площ с фиксирана свързаност </w:t>
      </w:r>
      <w:r w:rsidR="00330EEB">
        <w:t xml:space="preserve">с капацитет над 1Gbps </w:t>
      </w:r>
      <w:r w:rsidR="003E7EA7">
        <w:t>-</w:t>
      </w:r>
      <w:r w:rsidR="00330EEB">
        <w:t xml:space="preserve"> 225,15 km²</w:t>
      </w:r>
    </w:p>
    <w:p w:rsidR="006F1A4C" w:rsidRDefault="00A54505">
      <w:pPr>
        <w:pStyle w:val="P68B1DB1-ListParagraph13"/>
        <w:numPr>
          <w:ilvl w:val="0"/>
          <w:numId w:val="2"/>
        </w:numPr>
        <w:tabs>
          <w:tab w:val="left" w:pos="709"/>
        </w:tabs>
        <w:spacing w:after="240" w:line="276" w:lineRule="auto"/>
        <w:jc w:val="both"/>
      </w:pPr>
      <w:r>
        <w:rPr>
          <w:lang w:val="bg-BG"/>
        </w:rPr>
        <w:t xml:space="preserve"> </w:t>
      </w:r>
      <w:r w:rsidR="00330EEB">
        <w:t>4G покритието е 11 % за скорости от 10</w:t>
      </w:r>
      <w:r w:rsidR="003E7EA7">
        <w:t>-</w:t>
      </w:r>
      <w:r w:rsidR="00330EEB">
        <w:t xml:space="preserve">100 </w:t>
      </w:r>
      <w:proofErr w:type="spellStart"/>
      <w:r w:rsidR="00330EEB">
        <w:t>Mbps</w:t>
      </w:r>
      <w:proofErr w:type="spellEnd"/>
      <w:r w:rsidR="00330EEB">
        <w:t xml:space="preserve"> и 85 % за скорости от 100 до 1000 Mbps.</w:t>
      </w:r>
    </w:p>
    <w:p w:rsidR="006F1A4C" w:rsidRDefault="00A54505">
      <w:pPr>
        <w:pStyle w:val="P68B1DB1-ListParagraph13"/>
        <w:numPr>
          <w:ilvl w:val="0"/>
          <w:numId w:val="2"/>
        </w:numPr>
        <w:tabs>
          <w:tab w:val="left" w:pos="709"/>
        </w:tabs>
        <w:spacing w:after="240" w:line="276" w:lineRule="auto"/>
        <w:jc w:val="both"/>
      </w:pPr>
      <w:r>
        <w:rPr>
          <w:lang w:val="bg-BG"/>
        </w:rPr>
        <w:t xml:space="preserve"> </w:t>
      </w:r>
      <w:r w:rsidR="00330EEB">
        <w:t>Има 4 % проникване на 5G, което отразява бавния, но стабилен напредък в развитието на инфраструктурата.</w:t>
      </w:r>
    </w:p>
    <w:p w:rsidR="006F1A4C" w:rsidRDefault="006F1A4C">
      <w:pPr>
        <w:pStyle w:val="ListParagraph"/>
        <w:tabs>
          <w:tab w:val="left" w:pos="709"/>
        </w:tabs>
        <w:spacing w:after="240" w:line="276" w:lineRule="auto"/>
        <w:ind w:left="927"/>
        <w:jc w:val="both"/>
        <w:rPr>
          <w:rFonts w:ascii="Times New Roman" w:eastAsia="Times New Roman" w:hAnsi="Times New Roman" w:cs="Times New Roman"/>
          <w:sz w:val="24"/>
        </w:rPr>
      </w:pPr>
    </w:p>
    <w:p w:rsidR="006F1A4C" w:rsidRDefault="00330EEB">
      <w:pPr>
        <w:pStyle w:val="P68B1DB1-ListParagraph12"/>
        <w:numPr>
          <w:ilvl w:val="0"/>
          <w:numId w:val="9"/>
        </w:numPr>
        <w:tabs>
          <w:tab w:val="left" w:pos="709"/>
        </w:tabs>
        <w:spacing w:after="240" w:line="276" w:lineRule="auto"/>
        <w:jc w:val="both"/>
      </w:pPr>
      <w:r>
        <w:t xml:space="preserve">Югозападен </w:t>
      </w:r>
      <w:r w:rsidR="00A54505">
        <w:rPr>
          <w:lang w:val="bg-BG"/>
        </w:rPr>
        <w:t>район</w:t>
      </w:r>
      <w:r>
        <w:t>:</w:t>
      </w:r>
    </w:p>
    <w:p w:rsidR="006F1A4C" w:rsidRDefault="00330EEB">
      <w:pPr>
        <w:pStyle w:val="P68B1DB1-Normal11"/>
        <w:tabs>
          <w:tab w:val="left" w:pos="709"/>
          <w:tab w:val="left" w:leader="dot" w:pos="9072"/>
        </w:tabs>
        <w:spacing w:before="120" w:after="120" w:line="276" w:lineRule="auto"/>
        <w:ind w:firstLine="567"/>
        <w:jc w:val="both"/>
      </w:pPr>
      <w:r>
        <w:t>Демография и география: Най-големият по население район включва 52 общини с 2</w:t>
      </w:r>
      <w:r w:rsidR="003E7EA7">
        <w:rPr>
          <w:lang w:val="bg-BG"/>
        </w:rPr>
        <w:t> </w:t>
      </w:r>
      <w:r>
        <w:t>017</w:t>
      </w:r>
      <w:r w:rsidR="003E7EA7">
        <w:rPr>
          <w:lang w:val="bg-BG"/>
        </w:rPr>
        <w:t xml:space="preserve"> </w:t>
      </w:r>
      <w:r>
        <w:t>861 жители над 20 306 km².</w:t>
      </w:r>
    </w:p>
    <w:p w:rsidR="006F1A4C" w:rsidRDefault="00A54505">
      <w:pPr>
        <w:pStyle w:val="P68B1DB1-Normal11"/>
        <w:tabs>
          <w:tab w:val="left" w:pos="709"/>
        </w:tabs>
        <w:spacing w:after="240" w:line="276" w:lineRule="auto"/>
        <w:ind w:firstLine="567"/>
        <w:jc w:val="both"/>
      </w:pPr>
      <w:r>
        <w:rPr>
          <w:lang w:val="bg-BG"/>
        </w:rPr>
        <w:t>Покритие</w:t>
      </w:r>
      <w:r w:rsidR="00330EEB">
        <w:t>:</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A54505">
        <w:rPr>
          <w:lang w:val="bg-BG"/>
        </w:rPr>
        <w:t>свързаност</w:t>
      </w:r>
      <w:r>
        <w:t xml:space="preserve"> с капацитет 4G </w:t>
      </w:r>
      <w:r w:rsidR="003E7EA7">
        <w:t>–</w:t>
      </w:r>
      <w:r>
        <w:t xml:space="preserve"> 10</w:t>
      </w:r>
      <w:r w:rsidR="003E7EA7">
        <w:rPr>
          <w:lang w:val="en-US"/>
        </w:rPr>
        <w:t xml:space="preserve"> </w:t>
      </w:r>
      <w:r>
        <w:t xml:space="preserve">100 </w:t>
      </w:r>
      <w:proofErr w:type="spellStart"/>
      <w:r>
        <w:t>Mbps</w:t>
      </w:r>
      <w:proofErr w:type="spellEnd"/>
      <w:r>
        <w:t xml:space="preserve"> </w:t>
      </w:r>
      <w:r w:rsidR="003E7EA7">
        <w:t>-</w:t>
      </w:r>
      <w:r>
        <w:t xml:space="preserve"> </w:t>
      </w:r>
      <w:r>
        <w:rPr>
          <w:color w:val="000000"/>
        </w:rPr>
        <w:t>279,56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A54505">
        <w:rPr>
          <w:lang w:val="bg-BG"/>
        </w:rPr>
        <w:t>свързаност</w:t>
      </w:r>
      <w:r>
        <w:t xml:space="preserve">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10 678,39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A54505">
        <w:rPr>
          <w:lang w:val="bg-BG"/>
        </w:rPr>
        <w:t>свързаност</w:t>
      </w:r>
      <w:r>
        <w:t xml:space="preserve"> с капацитет 5 G </w:t>
      </w:r>
      <w:r w:rsidR="003E7EA7">
        <w:t>-</w:t>
      </w:r>
      <w:r>
        <w:t xml:space="preserve"> над 1Gbps </w:t>
      </w:r>
      <w:r w:rsidR="003E7EA7">
        <w:t>-</w:t>
      </w:r>
      <w:r>
        <w:t xml:space="preserve"> 904,32 km²</w:t>
      </w:r>
    </w:p>
    <w:p w:rsidR="006F1A4C" w:rsidRDefault="00A54505">
      <w:pPr>
        <w:pStyle w:val="Text2"/>
        <w:tabs>
          <w:tab w:val="clear" w:pos="2161"/>
          <w:tab w:val="left" w:pos="709"/>
          <w:tab w:val="left" w:leader="dot" w:pos="9072"/>
        </w:tabs>
        <w:spacing w:before="120" w:after="120" w:line="276" w:lineRule="auto"/>
        <w:ind w:left="0" w:firstLine="567"/>
      </w:pPr>
      <w:r w:rsidRPr="00A54505">
        <w:t xml:space="preserve">Площ с фиксирана свързаност </w:t>
      </w:r>
      <w:r w:rsidR="00330EEB">
        <w:t xml:space="preserve">с капацитет до 100 </w:t>
      </w:r>
      <w:proofErr w:type="spellStart"/>
      <w:r w:rsidR="00330EEB">
        <w:t>Mbps</w:t>
      </w:r>
      <w:proofErr w:type="spellEnd"/>
      <w:r w:rsidR="00330EEB">
        <w:t xml:space="preserve"> </w:t>
      </w:r>
      <w:r w:rsidR="003E7EA7">
        <w:t>-</w:t>
      </w:r>
      <w:r w:rsidR="00330EEB">
        <w:t xml:space="preserve"> </w:t>
      </w:r>
      <w:r w:rsidR="00330EEB">
        <w:rPr>
          <w:color w:val="000000"/>
        </w:rPr>
        <w:t>2,57</w:t>
      </w:r>
      <w:r w:rsidR="00330EEB">
        <w:t xml:space="preserve"> km²</w:t>
      </w:r>
    </w:p>
    <w:p w:rsidR="006F1A4C" w:rsidRDefault="00A54505">
      <w:pPr>
        <w:pStyle w:val="P68B1DB1-Text214"/>
        <w:tabs>
          <w:tab w:val="clear" w:pos="2161"/>
          <w:tab w:val="left" w:pos="709"/>
          <w:tab w:val="left" w:leader="dot" w:pos="9072"/>
        </w:tabs>
        <w:spacing w:before="120" w:after="120" w:line="276" w:lineRule="auto"/>
        <w:ind w:left="0" w:firstLine="567"/>
      </w:pPr>
      <w:r w:rsidRPr="00A54505">
        <w:t xml:space="preserve">Площ с фиксирана свързаност </w:t>
      </w:r>
      <w:r w:rsidR="00330EEB">
        <w:t>с капацитет 100</w:t>
      </w:r>
      <w:r w:rsidR="003E7EA7">
        <w:t>-</w:t>
      </w:r>
      <w:r w:rsidR="00330EEB">
        <w:t xml:space="preserve">300 </w:t>
      </w:r>
      <w:proofErr w:type="spellStart"/>
      <w:r w:rsidR="00330EEB">
        <w:t>Mbps</w:t>
      </w:r>
      <w:proofErr w:type="spellEnd"/>
      <w:r w:rsidR="00330EEB">
        <w:t xml:space="preserve"> </w:t>
      </w:r>
      <w:r w:rsidR="003E7EA7">
        <w:t>-</w:t>
      </w:r>
      <w:r w:rsidR="00330EEB">
        <w:t xml:space="preserve"> 10,55 km²</w:t>
      </w:r>
    </w:p>
    <w:p w:rsidR="006F1A4C" w:rsidRDefault="00A54505">
      <w:pPr>
        <w:pStyle w:val="P68B1DB1-Text214"/>
        <w:tabs>
          <w:tab w:val="clear" w:pos="2161"/>
          <w:tab w:val="left" w:pos="709"/>
          <w:tab w:val="left" w:leader="dot" w:pos="9072"/>
        </w:tabs>
        <w:spacing w:before="120" w:after="120" w:line="276" w:lineRule="auto"/>
        <w:ind w:left="0" w:firstLine="567"/>
      </w:pPr>
      <w:r w:rsidRPr="00A54505">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24,99 km²</w:t>
      </w:r>
    </w:p>
    <w:p w:rsidR="006F1A4C" w:rsidRDefault="00A54505">
      <w:pPr>
        <w:pStyle w:val="P68B1DB1-Text214"/>
        <w:tabs>
          <w:tab w:val="clear" w:pos="2161"/>
          <w:tab w:val="left" w:pos="709"/>
          <w:tab w:val="left" w:leader="dot" w:pos="9072"/>
        </w:tabs>
        <w:spacing w:before="120" w:after="120" w:line="276" w:lineRule="auto"/>
        <w:ind w:left="0" w:firstLine="567"/>
      </w:pPr>
      <w:r w:rsidRPr="00A54505">
        <w:t xml:space="preserve">Площ с фиксирана свързаност </w:t>
      </w:r>
      <w:r w:rsidR="00330EEB">
        <w:t xml:space="preserve">с капацитет над 1Gbps </w:t>
      </w:r>
      <w:r w:rsidR="003E7EA7">
        <w:t>-</w:t>
      </w:r>
      <w:r w:rsidR="00330EEB">
        <w:t xml:space="preserve"> 426,46 km²</w:t>
      </w:r>
    </w:p>
    <w:p w:rsidR="006F1A4C" w:rsidRDefault="00F97DD6">
      <w:pPr>
        <w:pStyle w:val="P68B1DB1-ListParagraph13"/>
        <w:numPr>
          <w:ilvl w:val="0"/>
          <w:numId w:val="2"/>
        </w:numPr>
        <w:tabs>
          <w:tab w:val="left" w:pos="709"/>
        </w:tabs>
        <w:spacing w:after="240" w:line="276" w:lineRule="auto"/>
        <w:jc w:val="both"/>
      </w:pPr>
      <w:r>
        <w:rPr>
          <w:lang w:val="bg-BG"/>
        </w:rPr>
        <w:t xml:space="preserve"> </w:t>
      </w:r>
      <w:r w:rsidR="00330EEB">
        <w:t xml:space="preserve">Той има най-високо покритие </w:t>
      </w:r>
      <w:r>
        <w:rPr>
          <w:lang w:val="bg-BG"/>
        </w:rPr>
        <w:t>с</w:t>
      </w:r>
      <w:r w:rsidR="00330EEB">
        <w:t xml:space="preserve"> 4G </w:t>
      </w:r>
      <w:r w:rsidR="003E7EA7">
        <w:t>-</w:t>
      </w:r>
      <w:r w:rsidR="00330EEB">
        <w:t xml:space="preserve"> 18 %, но по-ниско високоскоростно 4G покритие </w:t>
      </w:r>
      <w:r w:rsidR="003E7EA7">
        <w:t>-</w:t>
      </w:r>
      <w:r w:rsidR="00330EEB">
        <w:t xml:space="preserve"> 77 %.</w:t>
      </w:r>
    </w:p>
    <w:p w:rsidR="006F1A4C" w:rsidRDefault="00A54505">
      <w:pPr>
        <w:pStyle w:val="P68B1DB1-ListParagraph13"/>
        <w:numPr>
          <w:ilvl w:val="0"/>
          <w:numId w:val="2"/>
        </w:numPr>
        <w:tabs>
          <w:tab w:val="left" w:pos="709"/>
        </w:tabs>
        <w:spacing w:after="240" w:line="276" w:lineRule="auto"/>
        <w:jc w:val="both"/>
      </w:pPr>
      <w:r>
        <w:rPr>
          <w:lang w:val="bg-BG"/>
        </w:rPr>
        <w:t xml:space="preserve"> </w:t>
      </w:r>
      <w:r w:rsidR="00330EEB">
        <w:t xml:space="preserve">5G технологията е достъпна за 4 % от района, успоредно с </w:t>
      </w:r>
      <w:r>
        <w:rPr>
          <w:lang w:val="bg-BG"/>
        </w:rPr>
        <w:t xml:space="preserve">развитието на </w:t>
      </w:r>
      <w:r w:rsidR="00330EEB">
        <w:t>високоскоростната свързаност.</w:t>
      </w:r>
    </w:p>
    <w:p w:rsidR="006F1A4C" w:rsidRDefault="00330EEB">
      <w:pPr>
        <w:pStyle w:val="P68B1DB1-ListParagraph12"/>
        <w:numPr>
          <w:ilvl w:val="0"/>
          <w:numId w:val="9"/>
        </w:numPr>
        <w:tabs>
          <w:tab w:val="left" w:pos="709"/>
        </w:tabs>
        <w:spacing w:after="240" w:line="276" w:lineRule="auto"/>
        <w:jc w:val="both"/>
      </w:pPr>
      <w:r>
        <w:t>Южен централен регион:</w:t>
      </w:r>
    </w:p>
    <w:p w:rsidR="006F1A4C" w:rsidRDefault="00330EEB">
      <w:pPr>
        <w:pStyle w:val="Text2"/>
        <w:tabs>
          <w:tab w:val="clear" w:pos="2161"/>
          <w:tab w:val="left" w:pos="709"/>
          <w:tab w:val="left" w:leader="dot" w:pos="9072"/>
        </w:tabs>
        <w:spacing w:before="120" w:after="120" w:line="276" w:lineRule="auto"/>
        <w:ind w:left="0" w:firstLine="567"/>
      </w:pPr>
      <w:r>
        <w:t xml:space="preserve">Демография и география: </w:t>
      </w:r>
      <w:r w:rsidR="003E7EA7">
        <w:rPr>
          <w:lang w:val="bg-BG"/>
        </w:rPr>
        <w:t>Той</w:t>
      </w:r>
      <w:r>
        <w:t xml:space="preserve"> се състои от 58 общини, но с по-малко население от 1</w:t>
      </w:r>
      <w:r w:rsidR="003E7EA7">
        <w:rPr>
          <w:lang w:val="en-US"/>
        </w:rPr>
        <w:t> </w:t>
      </w:r>
      <w:r>
        <w:t>302</w:t>
      </w:r>
      <w:r w:rsidR="003E7EA7">
        <w:rPr>
          <w:lang w:val="en-US"/>
        </w:rPr>
        <w:t xml:space="preserve"> </w:t>
      </w:r>
      <w:r>
        <w:t>828 души с по-голяма площ от 22 365,1 km².</w:t>
      </w:r>
    </w:p>
    <w:p w:rsidR="00CE2008" w:rsidRDefault="00CE2008">
      <w:pPr>
        <w:pStyle w:val="P68B1DB1-Normal11"/>
        <w:tabs>
          <w:tab w:val="left" w:pos="709"/>
          <w:tab w:val="left" w:leader="dot" w:pos="9072"/>
        </w:tabs>
        <w:spacing w:before="120" w:after="120" w:line="276" w:lineRule="auto"/>
        <w:ind w:firstLine="567"/>
        <w:jc w:val="both"/>
      </w:pPr>
      <w:r w:rsidRPr="00CE2008">
        <w:t>Покритие:</w:t>
      </w:r>
    </w:p>
    <w:p w:rsidR="006F1A4C" w:rsidRDefault="00330EEB">
      <w:pPr>
        <w:pStyle w:val="P68B1DB1-Normal11"/>
        <w:tabs>
          <w:tab w:val="left" w:pos="709"/>
          <w:tab w:val="left" w:leader="dot" w:pos="9072"/>
        </w:tabs>
        <w:spacing w:before="120" w:after="120" w:line="276" w:lineRule="auto"/>
        <w:ind w:firstLine="567"/>
        <w:jc w:val="both"/>
      </w:pPr>
      <w:r>
        <w:t xml:space="preserve">Площ на мобилната </w:t>
      </w:r>
      <w:r w:rsidR="00CE2008">
        <w:rPr>
          <w:lang w:val="bg-BG"/>
        </w:rPr>
        <w:t>свързаност</w:t>
      </w:r>
      <w:r>
        <w:t xml:space="preserve"> с капацитет 4G </w:t>
      </w:r>
      <w:r w:rsidR="003E7EA7">
        <w:t>-</w:t>
      </w:r>
      <w:r>
        <w:t xml:space="preserve"> 10</w:t>
      </w:r>
      <w:r w:rsidR="003E7EA7">
        <w:t>-</w:t>
      </w:r>
      <w:r>
        <w:t xml:space="preserve">100 </w:t>
      </w:r>
      <w:proofErr w:type="spellStart"/>
      <w:r>
        <w:t>Mbps</w:t>
      </w:r>
      <w:proofErr w:type="spellEnd"/>
      <w:r>
        <w:t xml:space="preserve"> </w:t>
      </w:r>
      <w:r w:rsidR="003E7EA7">
        <w:t>-</w:t>
      </w:r>
      <w:r>
        <w:t xml:space="preserve"> </w:t>
      </w:r>
      <w:r>
        <w:rPr>
          <w:color w:val="000000"/>
        </w:rPr>
        <w:t>131,73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CE2008">
        <w:rPr>
          <w:lang w:val="bg-BG"/>
        </w:rPr>
        <w:t>свързаност</w:t>
      </w:r>
      <w:r>
        <w:t xml:space="preserve"> с капацитет 4G </w:t>
      </w:r>
      <w:r w:rsidR="003E7EA7">
        <w:t>-</w:t>
      </w:r>
      <w:r>
        <w:t xml:space="preserve"> 100</w:t>
      </w:r>
      <w:r w:rsidR="003E7EA7">
        <w:t>-</w:t>
      </w:r>
      <w:r>
        <w:t xml:space="preserve">1000 </w:t>
      </w:r>
      <w:proofErr w:type="spellStart"/>
      <w:r>
        <w:t>Mbps</w:t>
      </w:r>
      <w:proofErr w:type="spellEnd"/>
      <w:r>
        <w:t xml:space="preserve"> </w:t>
      </w:r>
      <w:r w:rsidR="003E7EA7">
        <w:t>-</w:t>
      </w:r>
      <w:r>
        <w:t xml:space="preserve"> 13 601,82 km²</w:t>
      </w:r>
    </w:p>
    <w:p w:rsidR="006F1A4C" w:rsidRDefault="00330EEB">
      <w:pPr>
        <w:pStyle w:val="P68B1DB1-Normal5"/>
        <w:tabs>
          <w:tab w:val="left" w:pos="709"/>
          <w:tab w:val="left" w:leader="dot" w:pos="9072"/>
        </w:tabs>
        <w:spacing w:before="120" w:after="120" w:line="276" w:lineRule="auto"/>
        <w:ind w:firstLine="567"/>
        <w:jc w:val="both"/>
      </w:pPr>
      <w:r>
        <w:t xml:space="preserve">Площ на мобилната </w:t>
      </w:r>
      <w:r w:rsidR="00CE2008">
        <w:rPr>
          <w:lang w:val="bg-BG"/>
        </w:rPr>
        <w:t>свързаност</w:t>
      </w:r>
      <w:r>
        <w:t xml:space="preserve"> с капацитет 5 G </w:t>
      </w:r>
      <w:r w:rsidR="003E7EA7">
        <w:t>-</w:t>
      </w:r>
      <w:r>
        <w:t xml:space="preserve"> над 1Gbps </w:t>
      </w:r>
      <w:r w:rsidR="003E7EA7">
        <w:t>-</w:t>
      </w:r>
      <w:r>
        <w:t xml:space="preserve"> 859,35 km²</w:t>
      </w:r>
    </w:p>
    <w:p w:rsidR="006F1A4C" w:rsidRDefault="00CE2008">
      <w:pPr>
        <w:pStyle w:val="P68B1DB1-Normal5"/>
        <w:tabs>
          <w:tab w:val="left" w:pos="709"/>
          <w:tab w:val="left" w:leader="dot" w:pos="9072"/>
        </w:tabs>
        <w:spacing w:before="120" w:after="120" w:line="276" w:lineRule="auto"/>
        <w:ind w:firstLine="567"/>
        <w:jc w:val="both"/>
      </w:pPr>
      <w:r w:rsidRPr="00CE2008">
        <w:t xml:space="preserve">Площ с фиксирана свързаност </w:t>
      </w:r>
      <w:r w:rsidR="00330EEB">
        <w:t xml:space="preserve">с капацитет до 100 </w:t>
      </w:r>
      <w:proofErr w:type="spellStart"/>
      <w:r w:rsidR="00330EEB">
        <w:t>Mbps</w:t>
      </w:r>
      <w:proofErr w:type="spellEnd"/>
      <w:r w:rsidR="00330EEB">
        <w:t xml:space="preserve"> </w:t>
      </w:r>
      <w:r w:rsidR="003E7EA7">
        <w:t>-</w:t>
      </w:r>
      <w:r w:rsidR="00330EEB">
        <w:t xml:space="preserve"> 16,08 km²</w:t>
      </w:r>
    </w:p>
    <w:p w:rsidR="006F1A4C" w:rsidRDefault="00CE2008">
      <w:pPr>
        <w:pStyle w:val="P68B1DB1-Normal5"/>
        <w:tabs>
          <w:tab w:val="left" w:pos="709"/>
          <w:tab w:val="left" w:leader="dot" w:pos="9072"/>
        </w:tabs>
        <w:spacing w:before="120" w:after="120" w:line="276" w:lineRule="auto"/>
        <w:ind w:firstLine="567"/>
        <w:jc w:val="both"/>
      </w:pPr>
      <w:r w:rsidRPr="00CE2008">
        <w:t xml:space="preserve">Площ с фиксирана свързаност </w:t>
      </w:r>
      <w:r w:rsidR="00330EEB">
        <w:t>със 100</w:t>
      </w:r>
      <w:r w:rsidR="003E7EA7">
        <w:t>-</w:t>
      </w:r>
      <w:r w:rsidR="00330EEB">
        <w:t xml:space="preserve">300 </w:t>
      </w:r>
      <w:proofErr w:type="spellStart"/>
      <w:r w:rsidR="00330EEB">
        <w:t>Mbps</w:t>
      </w:r>
      <w:proofErr w:type="spellEnd"/>
      <w:r w:rsidR="00330EEB">
        <w:t xml:space="preserve"> капацитет </w:t>
      </w:r>
      <w:r w:rsidR="003E7EA7">
        <w:t>-</w:t>
      </w:r>
      <w:r w:rsidR="00330EEB">
        <w:t xml:space="preserve"> 16,335 km²</w:t>
      </w:r>
    </w:p>
    <w:p w:rsidR="006F1A4C" w:rsidRDefault="00CE2008">
      <w:pPr>
        <w:pStyle w:val="P68B1DB1-Normal5"/>
        <w:tabs>
          <w:tab w:val="left" w:pos="709"/>
          <w:tab w:val="left" w:leader="dot" w:pos="9072"/>
        </w:tabs>
        <w:spacing w:before="120" w:after="120" w:line="276" w:lineRule="auto"/>
        <w:ind w:firstLine="567"/>
        <w:jc w:val="both"/>
      </w:pPr>
      <w:r w:rsidRPr="00CE2008">
        <w:t xml:space="preserve">Площ с фиксирана свързаност </w:t>
      </w:r>
      <w:r w:rsidR="00330EEB">
        <w:t>с капацитет 300</w:t>
      </w:r>
      <w:r w:rsidR="003E7EA7">
        <w:t>-</w:t>
      </w:r>
      <w:r w:rsidR="00330EEB">
        <w:t xml:space="preserve">1000 </w:t>
      </w:r>
      <w:proofErr w:type="spellStart"/>
      <w:r w:rsidR="00330EEB">
        <w:t>Mbps</w:t>
      </w:r>
      <w:proofErr w:type="spellEnd"/>
      <w:r w:rsidR="00330EEB">
        <w:t xml:space="preserve"> </w:t>
      </w:r>
      <w:r w:rsidR="003E7EA7">
        <w:t>-</w:t>
      </w:r>
      <w:r w:rsidR="00330EEB">
        <w:t xml:space="preserve"> 30,26 km²</w:t>
      </w:r>
    </w:p>
    <w:p w:rsidR="006F1A4C" w:rsidRDefault="00CE2008">
      <w:pPr>
        <w:pStyle w:val="P68B1DB1-Normal5"/>
        <w:tabs>
          <w:tab w:val="left" w:pos="709"/>
          <w:tab w:val="left" w:leader="dot" w:pos="9072"/>
        </w:tabs>
        <w:spacing w:before="120" w:after="120" w:line="276" w:lineRule="auto"/>
        <w:ind w:firstLine="567"/>
        <w:jc w:val="both"/>
      </w:pPr>
      <w:r w:rsidRPr="00CE2008">
        <w:t xml:space="preserve">Площ с фиксирана свързаност </w:t>
      </w:r>
      <w:r w:rsidR="00330EEB">
        <w:t xml:space="preserve">с капацитет над 1Gbps </w:t>
      </w:r>
      <w:r w:rsidR="003E7EA7">
        <w:t>-</w:t>
      </w:r>
      <w:r w:rsidR="00330EEB">
        <w:t xml:space="preserve"> 257,31 km²</w:t>
      </w:r>
    </w:p>
    <w:p w:rsidR="006F1A4C" w:rsidRDefault="00CE2008">
      <w:pPr>
        <w:pStyle w:val="P68B1DB1-ListParagraph13"/>
        <w:numPr>
          <w:ilvl w:val="0"/>
          <w:numId w:val="2"/>
        </w:numPr>
        <w:tabs>
          <w:tab w:val="left" w:pos="709"/>
        </w:tabs>
        <w:spacing w:after="240" w:line="276" w:lineRule="auto"/>
        <w:jc w:val="both"/>
      </w:pPr>
      <w:r>
        <w:rPr>
          <w:lang w:val="bg-BG"/>
        </w:rPr>
        <w:t xml:space="preserve"> </w:t>
      </w:r>
      <w:r w:rsidR="00330EEB">
        <w:t>Покритието за 4G (10</w:t>
      </w:r>
      <w:r w:rsidR="003E7EA7">
        <w:t>-</w:t>
      </w:r>
      <w:r w:rsidR="00330EEB">
        <w:t xml:space="preserve">100 </w:t>
      </w:r>
      <w:proofErr w:type="spellStart"/>
      <w:r w:rsidR="00330EEB">
        <w:t>Mbps</w:t>
      </w:r>
      <w:proofErr w:type="spellEnd"/>
      <w:r w:rsidR="00330EEB">
        <w:t>) е 16 %, а за 100</w:t>
      </w:r>
      <w:r w:rsidR="003E7EA7">
        <w:t>-</w:t>
      </w:r>
      <w:r w:rsidR="00330EEB">
        <w:t>100</w:t>
      </w:r>
      <w:r w:rsidR="003E7EA7">
        <w:rPr>
          <w:lang w:val="bg-BG"/>
        </w:rPr>
        <w:t>0</w:t>
      </w:r>
      <w:r w:rsidR="00330EEB">
        <w:t xml:space="preserve"> </w:t>
      </w:r>
      <w:proofErr w:type="spellStart"/>
      <w:r w:rsidR="00330EEB">
        <w:t>Mbps</w:t>
      </w:r>
      <w:proofErr w:type="spellEnd"/>
      <w:r w:rsidR="00330EEB">
        <w:t xml:space="preserve"> </w:t>
      </w:r>
      <w:r w:rsidR="003E7EA7">
        <w:t>-</w:t>
      </w:r>
      <w:r w:rsidR="00330EEB">
        <w:t xml:space="preserve"> 81 %.</w:t>
      </w:r>
    </w:p>
    <w:p w:rsidR="006F1A4C" w:rsidRDefault="00CE2008">
      <w:pPr>
        <w:pStyle w:val="P68B1DB1-ListParagraph13"/>
        <w:numPr>
          <w:ilvl w:val="0"/>
          <w:numId w:val="2"/>
        </w:numPr>
        <w:tabs>
          <w:tab w:val="left" w:pos="709"/>
        </w:tabs>
        <w:spacing w:after="240" w:line="276" w:lineRule="auto"/>
        <w:jc w:val="both"/>
      </w:pPr>
      <w:r>
        <w:rPr>
          <w:lang w:val="bg-BG"/>
        </w:rPr>
        <w:t xml:space="preserve"> </w:t>
      </w:r>
      <w:r w:rsidR="00330EEB">
        <w:t>Регионът съответства на средната стойност за страната с 4 % покритие на 5G мрежите.</w:t>
      </w:r>
    </w:p>
    <w:p w:rsidR="006F1A4C" w:rsidRDefault="00330EEB" w:rsidP="003E7EA7">
      <w:pPr>
        <w:pStyle w:val="P68B1DB1-Normal11"/>
        <w:tabs>
          <w:tab w:val="left" w:pos="709"/>
        </w:tabs>
        <w:spacing w:after="240" w:line="276" w:lineRule="auto"/>
        <w:ind w:firstLine="567"/>
        <w:jc w:val="both"/>
      </w:pPr>
      <w:r>
        <w:t xml:space="preserve">Както се вижда от резултатите от картографирането на регионалното покритие, променливите степени на мрежово покритие в </w:t>
      </w:r>
      <w:r w:rsidR="005B0363">
        <w:rPr>
          <w:lang w:val="bg-BG"/>
        </w:rPr>
        <w:t>районите</w:t>
      </w:r>
      <w:r>
        <w:t xml:space="preserve"> на България подчертават значителните различия, които трябва да бъдат </w:t>
      </w:r>
      <w:r w:rsidR="003E7EA7">
        <w:rPr>
          <w:lang w:val="bg-BG"/>
        </w:rPr>
        <w:t>подобрени</w:t>
      </w:r>
      <w:r>
        <w:t xml:space="preserve">, за да се преодолее </w:t>
      </w:r>
      <w:r w:rsidR="005B0363">
        <w:rPr>
          <w:lang w:val="bg-BG"/>
        </w:rPr>
        <w:t xml:space="preserve">и </w:t>
      </w:r>
      <w:r>
        <w:t xml:space="preserve">цифровото разделение. Постепенното внедряване на 5G, съчетано със силното присъствие на високоскоростен 4G, поставя основите, но </w:t>
      </w:r>
      <w:r w:rsidR="005B0363">
        <w:rPr>
          <w:lang w:val="bg-BG"/>
        </w:rPr>
        <w:t>остава необходимостта от засилване на</w:t>
      </w:r>
      <w:r>
        <w:t xml:space="preserve"> усилия</w:t>
      </w:r>
      <w:r w:rsidR="005B0363">
        <w:rPr>
          <w:lang w:val="bg-BG"/>
        </w:rPr>
        <w:t>та</w:t>
      </w:r>
      <w:r>
        <w:t xml:space="preserve"> за осигуряване на всички </w:t>
      </w:r>
      <w:r w:rsidR="005B0363">
        <w:rPr>
          <w:lang w:val="bg-BG"/>
        </w:rPr>
        <w:t>райони</w:t>
      </w:r>
      <w:r>
        <w:t xml:space="preserve"> с мрежи с висок капацитет, които </w:t>
      </w:r>
      <w:r w:rsidR="005B0363">
        <w:rPr>
          <w:lang w:val="bg-BG"/>
        </w:rPr>
        <w:t xml:space="preserve">да </w:t>
      </w:r>
      <w:r>
        <w:t>подкрепят стремежите на България за напълно свързано и приобщаващо цифрово общество.</w:t>
      </w:r>
    </w:p>
    <w:sectPr w:rsidR="006F1A4C" w:rsidSect="001C5DAD">
      <w:pgSz w:w="11906" w:h="16838"/>
      <w:pgMar w:top="1417" w:right="1417" w:bottom="851" w:left="1417"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64" w:rsidRDefault="00173964">
      <w:pPr>
        <w:spacing w:after="0" w:line="240" w:lineRule="auto"/>
      </w:pPr>
      <w:r>
        <w:separator/>
      </w:r>
    </w:p>
  </w:endnote>
  <w:endnote w:type="continuationSeparator" w:id="0">
    <w:p w:rsidR="00173964" w:rsidRDefault="0017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64" w:rsidRDefault="00173964">
      <w:pPr>
        <w:spacing w:after="0" w:line="240" w:lineRule="auto"/>
      </w:pPr>
      <w:r>
        <w:separator/>
      </w:r>
    </w:p>
  </w:footnote>
  <w:footnote w:type="continuationSeparator" w:id="0">
    <w:p w:rsidR="00173964" w:rsidRDefault="00173964">
      <w:pPr>
        <w:spacing w:after="0" w:line="240" w:lineRule="auto"/>
      </w:pPr>
      <w:r>
        <w:continuationSeparator/>
      </w:r>
    </w:p>
  </w:footnote>
  <w:footnote w:id="1">
    <w:p w:rsidR="00E4600E" w:rsidRPr="001C5DAD" w:rsidRDefault="00E4600E">
      <w:pPr>
        <w:pStyle w:val="FootnoteText"/>
        <w:rPr>
          <w:rFonts w:ascii="Century Schoolbook" w:hAnsi="Century Schoolbook"/>
          <w:sz w:val="16"/>
          <w:szCs w:val="16"/>
        </w:rPr>
      </w:pPr>
      <w:r>
        <w:rPr>
          <w:rStyle w:val="FootnoteReference"/>
        </w:rPr>
        <w:footnoteRef/>
      </w:r>
      <w:r>
        <w:t xml:space="preserve"> </w:t>
      </w:r>
      <w:r w:rsidRPr="001C5DAD">
        <w:rPr>
          <w:rFonts w:ascii="Century Schoolbook" w:hAnsi="Century Schoolbook"/>
          <w:sz w:val="16"/>
          <w:szCs w:val="16"/>
        </w:rPr>
        <w:t xml:space="preserve">стр. 53Окончателен доклад относно изпълнението на националната стратегия за регионално развитие за периода 2012—2022 г. — </w:t>
      </w:r>
      <w:hyperlink r:id="rId1" w:history="1">
        <w:r w:rsidRPr="001C5DAD">
          <w:rPr>
            <w:rStyle w:val="Hyperlink"/>
            <w:rFonts w:ascii="Century Schoolbook" w:hAnsi="Century Schoolbook"/>
            <w:sz w:val="16"/>
            <w:szCs w:val="16"/>
          </w:rPr>
          <w:t>https://www.strategy.bg/FileHandler.ashx?fileId=36784</w:t>
        </w:r>
      </w:hyperlink>
    </w:p>
  </w:footnote>
  <w:footnote w:id="2">
    <w:p w:rsidR="00E4600E" w:rsidRPr="001C5DAD" w:rsidRDefault="00E4600E">
      <w:pPr>
        <w:pStyle w:val="FootnoteText"/>
        <w:rPr>
          <w:rFonts w:ascii="Century Schoolbook" w:hAnsi="Century Schoolbook"/>
          <w:sz w:val="16"/>
          <w:szCs w:val="16"/>
        </w:rPr>
      </w:pPr>
      <w:r w:rsidRPr="001C5DAD">
        <w:rPr>
          <w:rStyle w:val="FootnoteReference"/>
          <w:rFonts w:ascii="Century Schoolbook" w:hAnsi="Century Schoolbook"/>
          <w:sz w:val="16"/>
          <w:szCs w:val="16"/>
        </w:rPr>
        <w:footnoteRef/>
      </w:r>
      <w:r w:rsidRPr="001C5DAD">
        <w:rPr>
          <w:rFonts w:ascii="Century Schoolbook" w:hAnsi="Century Schoolbook"/>
          <w:sz w:val="16"/>
          <w:szCs w:val="16"/>
        </w:rPr>
        <w:t xml:space="preserve"> стр. 25 Окончателен доклад относно изпълнението на националната стратегия за регионално развитие за периода 2012—2022 г. — </w:t>
      </w:r>
      <w:hyperlink r:id="rId2" w:history="1">
        <w:r w:rsidRPr="001C5DAD">
          <w:rPr>
            <w:rStyle w:val="Hyperlink"/>
            <w:rFonts w:ascii="Century Schoolbook" w:hAnsi="Century Schoolbook"/>
            <w:sz w:val="16"/>
            <w:szCs w:val="16"/>
          </w:rPr>
          <w:t>https://www.strategy.bg/FileHandler.ashx?fileId=36784</w:t>
        </w:r>
      </w:hyperlink>
    </w:p>
    <w:p w:rsidR="00E4600E" w:rsidRPr="001C5DAD" w:rsidRDefault="00E4600E">
      <w:pPr>
        <w:pStyle w:val="FootnoteText"/>
        <w:rPr>
          <w:rFonts w:ascii="Century Schoolbook" w:hAnsi="Century Schoolbook"/>
          <w:sz w:val="16"/>
          <w:szCs w:val="16"/>
        </w:rPr>
      </w:pPr>
    </w:p>
  </w:footnote>
  <w:footnote w:id="3">
    <w:p w:rsidR="00E4600E" w:rsidRDefault="00E4600E">
      <w:pPr>
        <w:pStyle w:val="FootnoteText"/>
        <w:rPr>
          <w:rFonts w:ascii="Century Schoolbook" w:hAnsi="Century Schoolbook"/>
          <w:sz w:val="16"/>
          <w:szCs w:val="16"/>
        </w:rPr>
      </w:pPr>
      <w:r w:rsidRPr="001C5DAD">
        <w:rPr>
          <w:rStyle w:val="FootnoteReference"/>
          <w:rFonts w:ascii="Century Schoolbook" w:hAnsi="Century Schoolbook"/>
          <w:sz w:val="16"/>
          <w:szCs w:val="16"/>
        </w:rPr>
        <w:footnoteRef/>
      </w:r>
      <w:r w:rsidRPr="001C5DAD">
        <w:rPr>
          <w:rFonts w:ascii="Century Schoolbook" w:hAnsi="Century Schoolbook"/>
          <w:sz w:val="16"/>
          <w:szCs w:val="16"/>
        </w:rPr>
        <w:t xml:space="preserve"> стр. 24 Окончателен доклад относно изпълнението на националната стратегия за регионално развитие за периода 2012—2022 г. — </w:t>
      </w:r>
      <w:hyperlink r:id="rId3" w:history="1">
        <w:r w:rsidRPr="00A22B75">
          <w:rPr>
            <w:rStyle w:val="Hyperlink"/>
            <w:rFonts w:ascii="Century Schoolbook" w:hAnsi="Century Schoolbook"/>
            <w:sz w:val="16"/>
            <w:szCs w:val="16"/>
          </w:rPr>
          <w:t>https://www.strategy.bg/FileHandler.ashx?fileId=36784</w:t>
        </w:r>
      </w:hyperlink>
    </w:p>
    <w:p w:rsidR="00E4600E" w:rsidRDefault="00E4600E">
      <w:pPr>
        <w:pStyle w:val="FootnoteText"/>
      </w:pPr>
    </w:p>
  </w:footnote>
  <w:footnote w:id="4">
    <w:p w:rsidR="00E4600E" w:rsidRPr="00F37D59" w:rsidRDefault="00E4600E">
      <w:pPr>
        <w:pStyle w:val="FootnoteText"/>
        <w:rPr>
          <w:rFonts w:ascii="Times New Roman" w:hAnsi="Times New Roman" w:cs="Times New Roman"/>
          <w:sz w:val="16"/>
          <w:szCs w:val="16"/>
        </w:rPr>
      </w:pPr>
      <w:r w:rsidRPr="00F37D59">
        <w:rPr>
          <w:rStyle w:val="FootnoteReference"/>
          <w:rFonts w:ascii="Times New Roman" w:hAnsi="Times New Roman" w:cs="Times New Roman"/>
          <w:sz w:val="16"/>
          <w:szCs w:val="16"/>
        </w:rPr>
        <w:footnoteRef/>
      </w:r>
      <w:r w:rsidRPr="00F37D59">
        <w:rPr>
          <w:rFonts w:ascii="Times New Roman" w:hAnsi="Times New Roman" w:cs="Times New Roman"/>
          <w:sz w:val="16"/>
          <w:szCs w:val="16"/>
        </w:rPr>
        <w:t xml:space="preserve"> стр. 41 Окончателен доклад относно изпълнението на националната стратегия за регионално развитие за периода 2012—2022 г. — </w:t>
      </w:r>
      <w:hyperlink r:id="rId4" w:history="1">
        <w:r w:rsidRPr="00F37D59">
          <w:rPr>
            <w:rStyle w:val="Hyperlink"/>
            <w:rFonts w:ascii="Times New Roman" w:hAnsi="Times New Roman" w:cs="Times New Roman"/>
            <w:sz w:val="16"/>
            <w:szCs w:val="16"/>
          </w:rPr>
          <w:t>https://www.strategy.bg/FileHandler.ashx?fileId=36784</w:t>
        </w:r>
      </w:hyperlink>
    </w:p>
  </w:footnote>
  <w:footnote w:id="5">
    <w:p w:rsidR="00E4600E" w:rsidRPr="004F79AC" w:rsidRDefault="00E4600E">
      <w:pPr>
        <w:pStyle w:val="FootnoteText"/>
        <w:rPr>
          <w:rFonts w:ascii="Times New Roman" w:hAnsi="Times New Roman" w:cs="Times New Roman"/>
          <w:sz w:val="16"/>
          <w:szCs w:val="16"/>
        </w:rPr>
      </w:pPr>
      <w:r w:rsidRPr="004F79AC">
        <w:rPr>
          <w:rStyle w:val="FootnoteReference"/>
          <w:rFonts w:ascii="Times New Roman" w:hAnsi="Times New Roman" w:cs="Times New Roman"/>
          <w:sz w:val="16"/>
          <w:szCs w:val="16"/>
        </w:rPr>
        <w:footnoteRef/>
      </w:r>
      <w:r w:rsidRPr="004F79AC">
        <w:rPr>
          <w:rFonts w:ascii="Times New Roman" w:hAnsi="Times New Roman" w:cs="Times New Roman"/>
          <w:sz w:val="16"/>
          <w:szCs w:val="16"/>
        </w:rPr>
        <w:t xml:space="preserve"> стр. 201. Социално-икономически анализ на регионите в Република България. Четвърти етап. Първа част — 2021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7B"/>
    <w:multiLevelType w:val="hybridMultilevel"/>
    <w:tmpl w:val="7C368B7E"/>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9B61B6B"/>
    <w:multiLevelType w:val="hybridMultilevel"/>
    <w:tmpl w:val="18CA59E0"/>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1CBD2DDB"/>
    <w:multiLevelType w:val="hybridMultilevel"/>
    <w:tmpl w:val="B0A4F80E"/>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2AE1388E"/>
    <w:multiLevelType w:val="hybridMultilevel"/>
    <w:tmpl w:val="01825026"/>
    <w:lvl w:ilvl="0" w:tplc="E0D01D72">
      <w:numFmt w:val="bullet"/>
      <w:lvlText w:val=""/>
      <w:lvlJc w:val="left"/>
      <w:pPr>
        <w:ind w:left="927" w:hanging="360"/>
      </w:pPr>
      <w:rPr>
        <w:rFonts w:ascii="Symbol" w:eastAsia="Times New Roman" w:hAnsi="Symbol"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15:restartNumberingAfterBreak="0">
    <w:nsid w:val="54285052"/>
    <w:multiLevelType w:val="hybridMultilevel"/>
    <w:tmpl w:val="28A46DF0"/>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5AE300CB"/>
    <w:multiLevelType w:val="hybridMultilevel"/>
    <w:tmpl w:val="4B2E93D0"/>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723E7235"/>
    <w:multiLevelType w:val="hybridMultilevel"/>
    <w:tmpl w:val="66AE8C72"/>
    <w:lvl w:ilvl="0" w:tplc="E0D01D72">
      <w:numFmt w:val="bullet"/>
      <w:lvlText w:val=""/>
      <w:lvlJc w:val="left"/>
      <w:pPr>
        <w:ind w:left="1494" w:hanging="360"/>
      </w:pPr>
      <w:rPr>
        <w:rFonts w:ascii="Symbol" w:eastAsia="Times New Roman" w:hAnsi="Symbol"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74495689"/>
    <w:multiLevelType w:val="hybridMultilevel"/>
    <w:tmpl w:val="A2505650"/>
    <w:lvl w:ilvl="0" w:tplc="490A64D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7E2D492E"/>
    <w:multiLevelType w:val="hybridMultilevel"/>
    <w:tmpl w:val="544EBBB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DB"/>
    <w:rsid w:val="00014200"/>
    <w:rsid w:val="00017AA9"/>
    <w:rsid w:val="00021938"/>
    <w:rsid w:val="00081707"/>
    <w:rsid w:val="00090DF4"/>
    <w:rsid w:val="000A230F"/>
    <w:rsid w:val="000D3229"/>
    <w:rsid w:val="00145E5C"/>
    <w:rsid w:val="00173964"/>
    <w:rsid w:val="00184DB4"/>
    <w:rsid w:val="00186E7E"/>
    <w:rsid w:val="001A7720"/>
    <w:rsid w:val="001C5DAD"/>
    <w:rsid w:val="001D635C"/>
    <w:rsid w:val="002056C7"/>
    <w:rsid w:val="00210335"/>
    <w:rsid w:val="002272D4"/>
    <w:rsid w:val="0024568B"/>
    <w:rsid w:val="00261A12"/>
    <w:rsid w:val="00267F2F"/>
    <w:rsid w:val="002864BB"/>
    <w:rsid w:val="002904C1"/>
    <w:rsid w:val="0030356B"/>
    <w:rsid w:val="003077CE"/>
    <w:rsid w:val="00330EEB"/>
    <w:rsid w:val="0034452C"/>
    <w:rsid w:val="0034725A"/>
    <w:rsid w:val="003B7819"/>
    <w:rsid w:val="003C6F4D"/>
    <w:rsid w:val="003D3FD2"/>
    <w:rsid w:val="003E7EA7"/>
    <w:rsid w:val="0040171C"/>
    <w:rsid w:val="00477BAA"/>
    <w:rsid w:val="00486F43"/>
    <w:rsid w:val="00492076"/>
    <w:rsid w:val="004E2D91"/>
    <w:rsid w:val="004E40A9"/>
    <w:rsid w:val="004F79AC"/>
    <w:rsid w:val="00505AAB"/>
    <w:rsid w:val="005A3799"/>
    <w:rsid w:val="005A43DB"/>
    <w:rsid w:val="005B0363"/>
    <w:rsid w:val="005D5836"/>
    <w:rsid w:val="006064AE"/>
    <w:rsid w:val="00655508"/>
    <w:rsid w:val="0065770A"/>
    <w:rsid w:val="00684D45"/>
    <w:rsid w:val="006F1A4C"/>
    <w:rsid w:val="00722020"/>
    <w:rsid w:val="007A067C"/>
    <w:rsid w:val="007A4326"/>
    <w:rsid w:val="007B532F"/>
    <w:rsid w:val="007C2CA0"/>
    <w:rsid w:val="007E6593"/>
    <w:rsid w:val="00814561"/>
    <w:rsid w:val="00816234"/>
    <w:rsid w:val="00816451"/>
    <w:rsid w:val="00832D42"/>
    <w:rsid w:val="008361A4"/>
    <w:rsid w:val="00871653"/>
    <w:rsid w:val="00883902"/>
    <w:rsid w:val="008D4B2F"/>
    <w:rsid w:val="008D53E7"/>
    <w:rsid w:val="009531F7"/>
    <w:rsid w:val="00973EEE"/>
    <w:rsid w:val="009D4CC1"/>
    <w:rsid w:val="009E21C4"/>
    <w:rsid w:val="009F1786"/>
    <w:rsid w:val="00A07497"/>
    <w:rsid w:val="00A14ABE"/>
    <w:rsid w:val="00A54505"/>
    <w:rsid w:val="00A64F12"/>
    <w:rsid w:val="00A877FF"/>
    <w:rsid w:val="00AB0063"/>
    <w:rsid w:val="00AD12F5"/>
    <w:rsid w:val="00AE08C9"/>
    <w:rsid w:val="00AF10BE"/>
    <w:rsid w:val="00B03FA7"/>
    <w:rsid w:val="00B324F2"/>
    <w:rsid w:val="00B50286"/>
    <w:rsid w:val="00B75AAE"/>
    <w:rsid w:val="00BC3BA6"/>
    <w:rsid w:val="00BE391A"/>
    <w:rsid w:val="00BE41A8"/>
    <w:rsid w:val="00C16659"/>
    <w:rsid w:val="00CC53DD"/>
    <w:rsid w:val="00CE2008"/>
    <w:rsid w:val="00CE49A5"/>
    <w:rsid w:val="00D12D25"/>
    <w:rsid w:val="00D33D9C"/>
    <w:rsid w:val="00E1329E"/>
    <w:rsid w:val="00E22376"/>
    <w:rsid w:val="00E33AF2"/>
    <w:rsid w:val="00E37719"/>
    <w:rsid w:val="00E45584"/>
    <w:rsid w:val="00E4600E"/>
    <w:rsid w:val="00E46BE6"/>
    <w:rsid w:val="00E75EDE"/>
    <w:rsid w:val="00EB6E8D"/>
    <w:rsid w:val="00EC1A5B"/>
    <w:rsid w:val="00F30A03"/>
    <w:rsid w:val="00F37D59"/>
    <w:rsid w:val="00F75B92"/>
    <w:rsid w:val="00F97DD6"/>
    <w:rsid w:val="00FB68AC"/>
    <w:rsid w:val="00FD0244"/>
    <w:rsid w:val="00FD5557"/>
    <w:rsid w:val="00FF2C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3F2B"/>
  <w15:chartTrackingRefBased/>
  <w15:docId w15:val="{B030D304-A17B-4B6A-84C4-98A5F16F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3DB"/>
    <w:pPr>
      <w:spacing w:after="0" w:line="240" w:lineRule="auto"/>
    </w:pPr>
    <w:rPr>
      <w:sz w:val="20"/>
    </w:rPr>
  </w:style>
  <w:style w:type="character" w:customStyle="1" w:styleId="FootnoteTextChar">
    <w:name w:val="Footnote Text Char"/>
    <w:basedOn w:val="DefaultParagraphFont"/>
    <w:link w:val="FootnoteText"/>
    <w:uiPriority w:val="99"/>
    <w:semiHidden/>
    <w:rsid w:val="005A43DB"/>
    <w:rPr>
      <w:sz w:val="20"/>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5A43DB"/>
    <w:rPr>
      <w:vertAlign w:val="superscript"/>
    </w:rPr>
  </w:style>
  <w:style w:type="paragraph" w:customStyle="1" w:styleId="SUPERSChar">
    <w:name w:val="SUPERS Char"/>
    <w:aliases w:val="EN Footnote Reference Char"/>
    <w:basedOn w:val="Normal"/>
    <w:link w:val="FootnoteReference"/>
    <w:uiPriority w:val="99"/>
    <w:rsid w:val="005A43DB"/>
    <w:pPr>
      <w:spacing w:line="240" w:lineRule="exact"/>
    </w:pPr>
    <w:rPr>
      <w:vertAlign w:val="superscript"/>
    </w:rPr>
  </w:style>
  <w:style w:type="character" w:styleId="Hyperlink">
    <w:name w:val="Hyperlink"/>
    <w:uiPriority w:val="99"/>
    <w:rsid w:val="005A43DB"/>
    <w:rPr>
      <w:color w:val="0000FF"/>
      <w:u w:val="single"/>
    </w:rPr>
  </w:style>
  <w:style w:type="paragraph" w:styleId="ListParagraph">
    <w:name w:val="List Paragraph"/>
    <w:basedOn w:val="Normal"/>
    <w:uiPriority w:val="34"/>
    <w:qFormat/>
    <w:rsid w:val="00816234"/>
    <w:pPr>
      <w:ind w:left="720"/>
      <w:contextualSpacing/>
    </w:pPr>
  </w:style>
  <w:style w:type="paragraph" w:customStyle="1" w:styleId="Text2">
    <w:name w:val="Text 2"/>
    <w:basedOn w:val="Normal"/>
    <w:rsid w:val="00816234"/>
    <w:pPr>
      <w:tabs>
        <w:tab w:val="left" w:pos="2161"/>
      </w:tabs>
      <w:spacing w:after="240" w:line="240" w:lineRule="auto"/>
      <w:ind w:left="1077"/>
      <w:jc w:val="both"/>
    </w:pPr>
    <w:rPr>
      <w:rFonts w:ascii="Times New Roman" w:eastAsia="Times New Roman" w:hAnsi="Times New Roman" w:cs="Times New Roman"/>
      <w:sz w:val="24"/>
    </w:rPr>
  </w:style>
  <w:style w:type="paragraph" w:styleId="NoSpacing">
    <w:name w:val="No Spacing"/>
    <w:link w:val="NoSpacingChar"/>
    <w:uiPriority w:val="1"/>
    <w:qFormat/>
    <w:rsid w:val="00FB68AC"/>
    <w:pPr>
      <w:spacing w:after="0" w:line="240" w:lineRule="auto"/>
    </w:pPr>
    <w:rPr>
      <w:rFonts w:eastAsiaTheme="minorEastAsia"/>
    </w:rPr>
  </w:style>
  <w:style w:type="character" w:customStyle="1" w:styleId="NoSpacingChar">
    <w:name w:val="No Spacing Char"/>
    <w:basedOn w:val="DefaultParagraphFont"/>
    <w:link w:val="NoSpacing"/>
    <w:uiPriority w:val="1"/>
    <w:rsid w:val="00FB68AC"/>
    <w:rPr>
      <w:rFonts w:eastAsiaTheme="minorEastAsia"/>
    </w:rPr>
  </w:style>
  <w:style w:type="paragraph" w:customStyle="1" w:styleId="P68B1DB1-NoSpacing1">
    <w:name w:val="P68B1DB1-NoSpacing1"/>
    <w:basedOn w:val="NoSpacing"/>
    <w:rPr>
      <w:color w:val="5B9BD5" w:themeColor="accent1"/>
      <w:sz w:val="72"/>
    </w:rPr>
  </w:style>
  <w:style w:type="paragraph" w:customStyle="1" w:styleId="P68B1DB1-NoSpacing2">
    <w:name w:val="P68B1DB1-NoSpacing2"/>
    <w:basedOn w:val="NoSpacing"/>
    <w:rPr>
      <w:caps/>
      <w:color w:val="1F3864" w:themeColor="accent5" w:themeShade="80"/>
      <w:sz w:val="28"/>
    </w:rPr>
  </w:style>
  <w:style w:type="paragraph" w:customStyle="1" w:styleId="P68B1DB1-NoSpacing3">
    <w:name w:val="P68B1DB1-NoSpacing3"/>
    <w:basedOn w:val="NoSpacing"/>
    <w:rPr>
      <w:caps/>
      <w:color w:val="4472C4" w:themeColor="accent5"/>
      <w:sz w:val="24"/>
    </w:rPr>
  </w:style>
  <w:style w:type="paragraph" w:customStyle="1" w:styleId="P68B1DB1-NoSpacing4">
    <w:name w:val="P68B1DB1-NoSpacing4"/>
    <w:basedOn w:val="NoSpacing"/>
    <w:rPr>
      <w:color w:val="FFFFFF" w:themeColor="background1"/>
      <w:sz w:val="24"/>
    </w:rPr>
  </w:style>
  <w:style w:type="paragraph" w:customStyle="1" w:styleId="P68B1DB1-Normal5">
    <w:name w:val="P68B1DB1-Normal5"/>
    <w:basedOn w:val="Normal"/>
    <w:rPr>
      <w:rFonts w:ascii="Times New Roman" w:eastAsia="Times New Roman" w:hAnsi="Times New Roman" w:cs="Times New Roman"/>
      <w:color w:val="000000"/>
      <w:sz w:val="24"/>
    </w:rPr>
  </w:style>
  <w:style w:type="paragraph" w:customStyle="1" w:styleId="P68B1DB1-Normal6">
    <w:name w:val="P68B1DB1-Normal6"/>
    <w:basedOn w:val="Normal"/>
    <w:rPr>
      <w:rFonts w:ascii="Times New Roman" w:eastAsia="Calibri" w:hAnsi="Times New Roman" w:cs="Times New Roman"/>
      <w:sz w:val="24"/>
    </w:rPr>
  </w:style>
  <w:style w:type="paragraph" w:customStyle="1" w:styleId="P68B1DB1-Normal7">
    <w:name w:val="P68B1DB1-Normal7"/>
    <w:basedOn w:val="Normal"/>
    <w:rPr>
      <w:rFonts w:ascii="Times New Roman" w:eastAsia="Calibri" w:hAnsi="Times New Roman" w:cs="Times New Roman"/>
      <w:b/>
      <w:sz w:val="24"/>
    </w:rPr>
  </w:style>
  <w:style w:type="paragraph" w:customStyle="1" w:styleId="P68B1DB1-Normal8">
    <w:name w:val="P68B1DB1-Normal8"/>
    <w:basedOn w:val="Normal"/>
    <w:rPr>
      <w:rFonts w:ascii="Times New Roman" w:eastAsia="Times New Roman" w:hAnsi="Times New Roman" w:cs="Times New Roman"/>
      <w:b/>
      <w:color w:val="000000"/>
      <w:sz w:val="24"/>
    </w:rPr>
  </w:style>
  <w:style w:type="paragraph" w:customStyle="1" w:styleId="P68B1DB1-Normal9">
    <w:name w:val="P68B1DB1-Normal9"/>
    <w:basedOn w:val="Normal"/>
    <w:rPr>
      <w:rFonts w:ascii="Times New Roman" w:eastAsia="Times New Roman" w:hAnsi="Times New Roman" w:cs="Times New Roman"/>
      <w:b/>
      <w:caps/>
      <w:sz w:val="24"/>
    </w:rPr>
  </w:style>
  <w:style w:type="paragraph" w:customStyle="1" w:styleId="P68B1DB1-Normal10">
    <w:name w:val="P68B1DB1-Normal10"/>
    <w:basedOn w:val="Normal"/>
    <w:rPr>
      <w:rFonts w:ascii="Times New Roman" w:eastAsia="Times New Roman" w:hAnsi="Times New Roman" w:cs="Times New Roman"/>
      <w:b/>
      <w:sz w:val="24"/>
    </w:rPr>
  </w:style>
  <w:style w:type="paragraph" w:customStyle="1" w:styleId="P68B1DB1-Normal11">
    <w:name w:val="P68B1DB1-Normal11"/>
    <w:basedOn w:val="Normal"/>
    <w:rPr>
      <w:rFonts w:ascii="Times New Roman" w:eastAsia="Times New Roman" w:hAnsi="Times New Roman" w:cs="Times New Roman"/>
      <w:sz w:val="24"/>
    </w:rPr>
  </w:style>
  <w:style w:type="paragraph" w:customStyle="1" w:styleId="P68B1DB1-ListParagraph12">
    <w:name w:val="P68B1DB1-ListParagraph12"/>
    <w:basedOn w:val="ListParagraph"/>
    <w:rPr>
      <w:rFonts w:ascii="Times New Roman" w:eastAsia="Times New Roman" w:hAnsi="Times New Roman" w:cs="Times New Roman"/>
      <w:b/>
      <w:sz w:val="24"/>
    </w:rPr>
  </w:style>
  <w:style w:type="paragraph" w:customStyle="1" w:styleId="P68B1DB1-ListParagraph13">
    <w:name w:val="P68B1DB1-ListParagraph13"/>
    <w:basedOn w:val="ListParagraph"/>
    <w:rPr>
      <w:rFonts w:ascii="Times New Roman" w:eastAsia="Times New Roman" w:hAnsi="Times New Roman" w:cs="Times New Roman"/>
      <w:sz w:val="24"/>
    </w:rPr>
  </w:style>
  <w:style w:type="paragraph" w:customStyle="1" w:styleId="P68B1DB1-Text214">
    <w:name w:val="P68B1DB1-Text214"/>
    <w:basedOn w:val="Text2"/>
    <w:rPr>
      <w:color w:val="000000"/>
    </w:rPr>
  </w:style>
  <w:style w:type="paragraph" w:styleId="BalloonText">
    <w:name w:val="Balloon Text"/>
    <w:basedOn w:val="Normal"/>
    <w:link w:val="BalloonTextChar"/>
    <w:uiPriority w:val="99"/>
    <w:semiHidden/>
    <w:unhideWhenUsed/>
    <w:rsid w:val="000A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rategy.bg/FileHandler.ashx?fileId=36784" TargetMode="External"/><Relationship Id="rId2" Type="http://schemas.openxmlformats.org/officeDocument/2006/relationships/hyperlink" Target="https://www.strategy.bg/FileHandler.ashx?fileId=36784" TargetMode="External"/><Relationship Id="rId1" Type="http://schemas.openxmlformats.org/officeDocument/2006/relationships/hyperlink" Target="https://www.strategy.bg/FileHandler.ashx?fileId=36784" TargetMode="External"/><Relationship Id="rId4" Type="http://schemas.openxmlformats.org/officeDocument/2006/relationships/hyperlink" Target="https://www.strategy.bg/FileHandler.ashx?fileId=36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6A25B1-CD22-49F9-852F-7359DC7B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8364</Words>
  <Characters>47680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Състояние на цифровата свързаност в страната</dc:subject>
  <cp:keywords/>
  <dc:description/>
  <cp:lastModifiedBy>Hristina Dobreva</cp:lastModifiedBy>
  <cp:revision>59</cp:revision>
  <cp:lastPrinted>2024-10-21T09:09:00Z</cp:lastPrinted>
  <dcterms:created xsi:type="dcterms:W3CDTF">2024-10-02T14:37:00Z</dcterms:created>
  <dcterms:modified xsi:type="dcterms:W3CDTF">2024-12-19T11:52:00Z</dcterms:modified>
</cp:coreProperties>
</file>