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F19" w:rsidRPr="00CB52EF" w:rsidRDefault="00D44F19" w:rsidP="00FB1477">
      <w:pPr>
        <w:spacing w:after="360"/>
        <w:jc w:val="center"/>
        <w:rPr>
          <w:b/>
        </w:rPr>
      </w:pPr>
      <w:bookmarkStart w:id="0" w:name="_GoBack"/>
      <w:bookmarkEnd w:id="0"/>
      <w:r w:rsidRPr="00CB52EF">
        <w:rPr>
          <w:b/>
        </w:rPr>
        <w:t>Таблица за съответствие с правото на Европейския съюз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949"/>
        <w:gridCol w:w="5440"/>
        <w:gridCol w:w="2781"/>
      </w:tblGrid>
      <w:tr w:rsidR="00D44F19" w:rsidRPr="00CB52EF" w:rsidTr="00087A29">
        <w:tc>
          <w:tcPr>
            <w:tcW w:w="5949" w:type="dxa"/>
          </w:tcPr>
          <w:p w:rsidR="00D44F19" w:rsidRPr="00CB52EF" w:rsidRDefault="00C62DE8" w:rsidP="00C62DE8">
            <w:pPr>
              <w:jc w:val="both"/>
              <w:rPr>
                <w:b/>
              </w:rPr>
            </w:pPr>
            <w:r w:rsidRPr="00C62DE8">
              <w:rPr>
                <w:b/>
              </w:rPr>
              <w:t>Делегирана директива (ЕС) 2025/149 на Комисията</w:t>
            </w:r>
            <w:r>
              <w:rPr>
                <w:b/>
              </w:rPr>
              <w:t xml:space="preserve"> </w:t>
            </w:r>
            <w:r w:rsidRPr="00C62DE8">
              <w:rPr>
                <w:b/>
              </w:rPr>
              <w:t>от 15 ноември 2024 г</w:t>
            </w:r>
            <w:r>
              <w:rPr>
                <w:b/>
              </w:rPr>
              <w:t xml:space="preserve">. </w:t>
            </w:r>
            <w:r w:rsidRPr="00C62DE8">
              <w:rPr>
                <w:b/>
              </w:rPr>
              <w:t>за изменение на приложенията към Директива 2008/68/ЕО на Европейския парламент и на Съвета с цел отчитане на научно-техническия прогрес</w:t>
            </w:r>
            <w:r>
              <w:rPr>
                <w:b/>
              </w:rPr>
              <w:t xml:space="preserve"> </w:t>
            </w:r>
            <w:r w:rsidRPr="00C62DE8">
              <w:rPr>
                <w:b/>
              </w:rPr>
              <w:t>(OB L, 2025/149 от 24.1.2025 г.)</w:t>
            </w:r>
          </w:p>
        </w:tc>
        <w:tc>
          <w:tcPr>
            <w:tcW w:w="5440" w:type="dxa"/>
          </w:tcPr>
          <w:p w:rsidR="00D44F19" w:rsidRPr="00D74DA4" w:rsidRDefault="00D44F19" w:rsidP="00D44F19">
            <w:pPr>
              <w:jc w:val="both"/>
              <w:rPr>
                <w:b/>
              </w:rPr>
            </w:pPr>
            <w:r w:rsidRPr="00CB52EF">
              <w:rPr>
                <w:b/>
              </w:rPr>
              <w:t>Проект на Наредба за изменение и допълнение на Наредба № 16 от 20 юни 2006</w:t>
            </w:r>
            <w:r w:rsidR="00C62DE8">
              <w:rPr>
                <w:b/>
              </w:rPr>
              <w:t xml:space="preserve"> </w:t>
            </w:r>
            <w:r w:rsidRPr="00CB52EF">
              <w:rPr>
                <w:b/>
              </w:rPr>
              <w:t>г. за обработка и превоз на опасни и/или замърсяващи товари по море и на опасни товари по вътрешни водни пътища</w:t>
            </w:r>
            <w:r>
              <w:rPr>
                <w:b/>
              </w:rPr>
              <w:t xml:space="preserve"> </w:t>
            </w:r>
          </w:p>
        </w:tc>
        <w:tc>
          <w:tcPr>
            <w:tcW w:w="2781" w:type="dxa"/>
          </w:tcPr>
          <w:p w:rsidR="00D44F19" w:rsidRPr="00CB52EF" w:rsidRDefault="00D44F19" w:rsidP="00A803DA">
            <w:pPr>
              <w:jc w:val="center"/>
              <w:rPr>
                <w:b/>
              </w:rPr>
            </w:pPr>
            <w:r w:rsidRPr="00CB52EF">
              <w:rPr>
                <w:b/>
              </w:rPr>
              <w:t>Степен на съответствие</w:t>
            </w:r>
          </w:p>
        </w:tc>
      </w:tr>
      <w:tr w:rsidR="00D44F19" w:rsidRPr="00D44F19" w:rsidTr="00087A29">
        <w:tc>
          <w:tcPr>
            <w:tcW w:w="5949" w:type="dxa"/>
          </w:tcPr>
          <w:p w:rsidR="00C62DE8" w:rsidRPr="00C62DE8" w:rsidRDefault="00C62DE8" w:rsidP="00C62DE8">
            <w:pPr>
              <w:shd w:val="clear" w:color="auto" w:fill="FFFFFF"/>
              <w:spacing w:before="360" w:after="120"/>
              <w:jc w:val="center"/>
              <w:rPr>
                <w:rFonts w:eastAsia="Times New Roman"/>
                <w:i/>
                <w:iCs/>
                <w:noProof w:val="0"/>
                <w:color w:val="000000"/>
                <w:lang w:val="bg-BG" w:eastAsia="bg-BG"/>
              </w:rPr>
            </w:pPr>
            <w:r w:rsidRPr="00C62DE8">
              <w:rPr>
                <w:rFonts w:eastAsia="Times New Roman"/>
                <w:i/>
                <w:iCs/>
                <w:noProof w:val="0"/>
                <w:color w:val="000000"/>
                <w:lang w:val="bg-BG" w:eastAsia="bg-BG"/>
              </w:rPr>
              <w:t>Член 1</w:t>
            </w:r>
          </w:p>
          <w:p w:rsidR="00C62DE8" w:rsidRPr="00C62DE8" w:rsidRDefault="00C62DE8" w:rsidP="00C62DE8">
            <w:pPr>
              <w:shd w:val="clear" w:color="auto" w:fill="FFFFFF"/>
              <w:spacing w:before="60" w:after="120"/>
              <w:jc w:val="center"/>
              <w:rPr>
                <w:rFonts w:ascii="inherit" w:eastAsia="Times New Roman" w:hAnsi="inherit"/>
                <w:b/>
                <w:bCs/>
                <w:noProof w:val="0"/>
                <w:color w:val="000000"/>
                <w:lang w:val="bg-BG" w:eastAsia="bg-BG"/>
              </w:rPr>
            </w:pPr>
            <w:r w:rsidRPr="00C62DE8">
              <w:rPr>
                <w:rFonts w:ascii="inherit" w:eastAsia="Times New Roman" w:hAnsi="inherit"/>
                <w:b/>
                <w:bCs/>
                <w:noProof w:val="0"/>
                <w:color w:val="000000"/>
                <w:lang w:val="bg-BG" w:eastAsia="bg-BG"/>
              </w:rPr>
              <w:t>Изменения</w:t>
            </w:r>
          </w:p>
          <w:p w:rsidR="00C62DE8" w:rsidRPr="00C62DE8" w:rsidRDefault="00C62DE8" w:rsidP="00C62DE8">
            <w:pPr>
              <w:shd w:val="clear" w:color="auto" w:fill="FFFFFF"/>
              <w:spacing w:before="120"/>
              <w:jc w:val="both"/>
              <w:rPr>
                <w:rFonts w:eastAsia="Times New Roman"/>
                <w:noProof w:val="0"/>
                <w:color w:val="000000"/>
                <w:lang w:val="bg-BG" w:eastAsia="bg-BG"/>
              </w:rPr>
            </w:pPr>
            <w:r w:rsidRPr="00C62DE8">
              <w:rPr>
                <w:rFonts w:eastAsia="Times New Roman"/>
                <w:noProof w:val="0"/>
                <w:color w:val="000000"/>
                <w:lang w:val="bg-BG" w:eastAsia="bg-BG"/>
              </w:rPr>
              <w:t>Директива 2008/68/ЕО се изменя, както следва:</w:t>
            </w: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5553"/>
            </w:tblGrid>
            <w:tr w:rsidR="00C62DE8" w:rsidRPr="00C62DE8" w:rsidTr="00C62DE8">
              <w:tc>
                <w:tcPr>
                  <w:tcW w:w="0" w:type="auto"/>
                  <w:shd w:val="clear" w:color="auto" w:fill="FFFFFF"/>
                  <w:hideMark/>
                </w:tcPr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  <w:t>В приложение I раздел I.1 се заменя със следното:</w:t>
                  </w:r>
                </w:p>
                <w:p w:rsidR="00C62DE8" w:rsidRPr="00C62DE8" w:rsidRDefault="00C62DE8" w:rsidP="00C62DE8">
                  <w:pPr>
                    <w:spacing w:before="240" w:after="120" w:line="240" w:lineRule="auto"/>
                    <w:jc w:val="both"/>
                    <w:rPr>
                      <w:rFonts w:ascii="inherit" w:eastAsia="Times New Roman" w:hAnsi="inherit"/>
                      <w:b/>
                      <w:bCs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b/>
                      <w:bCs/>
                      <w:noProof w:val="0"/>
                      <w:color w:val="000000"/>
                      <w:lang w:val="bg-BG" w:eastAsia="bg-BG"/>
                    </w:rPr>
                    <w:t>„I.1.   ADR</w:t>
                  </w:r>
                </w:p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  <w:t>Приложения A и Б към ADR, приложими от 1 януари 2025 г., като се разбира, че където е уместно „договаряща страна“ се заменя с „държава членка.“;“</w:t>
                  </w:r>
                </w:p>
              </w:tc>
            </w:tr>
          </w:tbl>
          <w:p w:rsidR="00D44F19" w:rsidRPr="00D44F19" w:rsidRDefault="00D44F19" w:rsidP="00D44F19">
            <w:pPr>
              <w:jc w:val="both"/>
            </w:pPr>
          </w:p>
        </w:tc>
        <w:tc>
          <w:tcPr>
            <w:tcW w:w="5440" w:type="dxa"/>
          </w:tcPr>
          <w:p w:rsidR="00D44F19" w:rsidRPr="00D44F19" w:rsidRDefault="00D44F19" w:rsidP="00D44F19">
            <w:pPr>
              <w:jc w:val="both"/>
            </w:pPr>
          </w:p>
        </w:tc>
        <w:tc>
          <w:tcPr>
            <w:tcW w:w="2781" w:type="dxa"/>
          </w:tcPr>
          <w:p w:rsidR="00D44F19" w:rsidRPr="00D44F19" w:rsidRDefault="00D44F19" w:rsidP="00D44F19">
            <w:pPr>
              <w:jc w:val="both"/>
            </w:pPr>
          </w:p>
        </w:tc>
      </w:tr>
      <w:tr w:rsidR="00D44F19" w:rsidRPr="00D44F19" w:rsidTr="00087A29">
        <w:tc>
          <w:tcPr>
            <w:tcW w:w="5949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5553"/>
            </w:tblGrid>
            <w:tr w:rsidR="00C62DE8" w:rsidRPr="00C62DE8" w:rsidTr="00C62DE8">
              <w:tc>
                <w:tcPr>
                  <w:tcW w:w="0" w:type="auto"/>
                  <w:shd w:val="clear" w:color="auto" w:fill="FFFFFF"/>
                  <w:hideMark/>
                </w:tcPr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  <w:t>в приложение II раздел II.1 се заменя със следното:</w:t>
                  </w:r>
                </w:p>
                <w:p w:rsidR="00C62DE8" w:rsidRPr="00C62DE8" w:rsidRDefault="00C62DE8" w:rsidP="00C62DE8">
                  <w:pPr>
                    <w:spacing w:before="240" w:after="120" w:line="240" w:lineRule="auto"/>
                    <w:jc w:val="both"/>
                    <w:rPr>
                      <w:rFonts w:ascii="inherit" w:eastAsia="Times New Roman" w:hAnsi="inherit"/>
                      <w:b/>
                      <w:bCs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b/>
                      <w:bCs/>
                      <w:noProof w:val="0"/>
                      <w:color w:val="000000"/>
                      <w:lang w:val="bg-BG" w:eastAsia="bg-BG"/>
                    </w:rPr>
                    <w:t>„II.1.   RID</w:t>
                  </w:r>
                </w:p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color w:val="000000"/>
                      <w:lang w:val="bg-BG" w:eastAsia="bg-BG"/>
                    </w:rPr>
                    <w:t>Приложението към RID, приложимо от 1 януари 2025 г., като се разбира, че където е уместно „RID договаряща държава“ се заменя с „държава членка.“;“</w:t>
                  </w:r>
                </w:p>
              </w:tc>
            </w:tr>
          </w:tbl>
          <w:p w:rsidR="00D44F19" w:rsidRPr="00D44F19" w:rsidRDefault="00D44F19" w:rsidP="00D44F19">
            <w:pPr>
              <w:jc w:val="both"/>
            </w:pPr>
          </w:p>
        </w:tc>
        <w:tc>
          <w:tcPr>
            <w:tcW w:w="5440" w:type="dxa"/>
          </w:tcPr>
          <w:p w:rsidR="00D44F19" w:rsidRPr="00D44F19" w:rsidRDefault="00D44F19" w:rsidP="00D44F19">
            <w:pPr>
              <w:jc w:val="both"/>
            </w:pPr>
          </w:p>
        </w:tc>
        <w:tc>
          <w:tcPr>
            <w:tcW w:w="2781" w:type="dxa"/>
          </w:tcPr>
          <w:p w:rsidR="00D44F19" w:rsidRPr="00D44F19" w:rsidRDefault="00D44F19" w:rsidP="00D44F19">
            <w:pPr>
              <w:jc w:val="both"/>
            </w:pPr>
          </w:p>
        </w:tc>
      </w:tr>
      <w:tr w:rsidR="00D44F19" w:rsidRPr="00D44F19" w:rsidTr="00087A29">
        <w:tc>
          <w:tcPr>
            <w:tcW w:w="5949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  <w:gridCol w:w="5553"/>
            </w:tblGrid>
            <w:tr w:rsidR="00C62DE8" w:rsidRPr="00C62DE8" w:rsidTr="00C62DE8">
              <w:tc>
                <w:tcPr>
                  <w:tcW w:w="0" w:type="auto"/>
                  <w:shd w:val="clear" w:color="auto" w:fill="auto"/>
                  <w:hideMark/>
                </w:tcPr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lang w:val="bg-BG" w:eastAsia="bg-BG"/>
                    </w:rPr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lang w:val="bg-BG" w:eastAsia="bg-BG"/>
                    </w:rPr>
                    <w:t>в приложение III раздел III.1 се заменя със следното:</w:t>
                  </w:r>
                </w:p>
                <w:p w:rsidR="00C62DE8" w:rsidRPr="00C62DE8" w:rsidRDefault="00C62DE8" w:rsidP="00C62DE8">
                  <w:pPr>
                    <w:spacing w:before="240" w:after="120" w:line="240" w:lineRule="auto"/>
                    <w:jc w:val="both"/>
                    <w:rPr>
                      <w:rFonts w:ascii="inherit" w:eastAsia="Times New Roman" w:hAnsi="inherit"/>
                      <w:b/>
                      <w:bCs/>
                      <w:noProof w:val="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b/>
                      <w:bCs/>
                      <w:noProof w:val="0"/>
                      <w:lang w:val="bg-BG" w:eastAsia="bg-BG"/>
                    </w:rPr>
                    <w:t>„III.1.   ADN</w:t>
                  </w:r>
                </w:p>
                <w:p w:rsidR="00C62DE8" w:rsidRPr="00C62DE8" w:rsidRDefault="00C62DE8" w:rsidP="00C62DE8">
                  <w:pPr>
                    <w:spacing w:before="120" w:after="0" w:line="240" w:lineRule="auto"/>
                    <w:jc w:val="both"/>
                    <w:rPr>
                      <w:rFonts w:ascii="inherit" w:eastAsia="Times New Roman" w:hAnsi="inherit"/>
                      <w:noProof w:val="0"/>
                      <w:lang w:val="bg-BG" w:eastAsia="bg-BG"/>
                    </w:rPr>
                  </w:pPr>
                  <w:r w:rsidRPr="00C62DE8">
                    <w:rPr>
                      <w:rFonts w:ascii="inherit" w:eastAsia="Times New Roman" w:hAnsi="inherit"/>
                      <w:noProof w:val="0"/>
                      <w:lang w:val="bg-BG" w:eastAsia="bg-BG"/>
                    </w:rPr>
                    <w:t xml:space="preserve">Приложените регламенти към ADN, приложими от 1 януари 2025 г., както и член 3, букви е) и з) и член 8, </w:t>
                  </w:r>
                  <w:r w:rsidRPr="00C62DE8">
                    <w:rPr>
                      <w:rFonts w:ascii="inherit" w:eastAsia="Times New Roman" w:hAnsi="inherit"/>
                      <w:noProof w:val="0"/>
                      <w:lang w:val="bg-BG" w:eastAsia="bg-BG"/>
                    </w:rPr>
                    <w:lastRenderedPageBreak/>
                    <w:t>параграфи 1 и 3 от ADN, като се разбира, че където е уместно „договаряща страна“ се заменя с „държава членка“.“</w:t>
                  </w:r>
                </w:p>
              </w:tc>
            </w:tr>
          </w:tbl>
          <w:p w:rsidR="00D44F19" w:rsidRPr="00D44F19" w:rsidRDefault="00D44F19" w:rsidP="00D44F19">
            <w:pPr>
              <w:shd w:val="clear" w:color="auto" w:fill="FFFFFF"/>
              <w:spacing w:line="312" w:lineRule="atLeast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</w:p>
        </w:tc>
        <w:tc>
          <w:tcPr>
            <w:tcW w:w="5440" w:type="dxa"/>
          </w:tcPr>
          <w:p w:rsidR="00FB1477" w:rsidRPr="00CB52EF" w:rsidRDefault="00FB1477" w:rsidP="00FB1477">
            <w:pPr>
              <w:jc w:val="both"/>
            </w:pPr>
            <w:r w:rsidRPr="00CB52EF">
              <w:rPr>
                <w:b/>
              </w:rPr>
              <w:lastRenderedPageBreak/>
              <w:t>§ 1.</w:t>
            </w:r>
            <w:r w:rsidRPr="00CB52EF">
              <w:t xml:space="preserve"> В чл. 9, ал. 2 </w:t>
            </w:r>
            <w:r w:rsidR="00A50C72">
              <w:rPr>
                <w:lang w:val="bg-BG"/>
              </w:rPr>
              <w:t>числото</w:t>
            </w:r>
            <w:r w:rsidRPr="00CB52EF">
              <w:t xml:space="preserve"> „20</w:t>
            </w:r>
            <w:r>
              <w:t>2</w:t>
            </w:r>
            <w:r w:rsidR="00C62DE8">
              <w:rPr>
                <w:lang w:val="bg-BG"/>
              </w:rPr>
              <w:t>3</w:t>
            </w:r>
            <w:r w:rsidR="00A50C72">
              <w:t>” се заменя</w:t>
            </w:r>
            <w:r w:rsidRPr="00CB52EF">
              <w:t xml:space="preserve"> с</w:t>
            </w:r>
            <w:r>
              <w:t xml:space="preserve"> „</w:t>
            </w:r>
            <w:r w:rsidRPr="00CB52EF">
              <w:t>20</w:t>
            </w:r>
            <w:r>
              <w:t>2</w:t>
            </w:r>
            <w:r w:rsidR="00C62DE8">
              <w:rPr>
                <w:lang w:val="bg-BG"/>
              </w:rPr>
              <w:t>5</w:t>
            </w:r>
            <w:r w:rsidRPr="00CB52EF">
              <w:t>”.</w:t>
            </w:r>
          </w:p>
          <w:p w:rsidR="00D44F19" w:rsidRPr="00D44F19" w:rsidRDefault="00D44F19" w:rsidP="00D44F19">
            <w:pPr>
              <w:jc w:val="both"/>
            </w:pPr>
          </w:p>
        </w:tc>
        <w:tc>
          <w:tcPr>
            <w:tcW w:w="2781" w:type="dxa"/>
          </w:tcPr>
          <w:p w:rsidR="00D44F19" w:rsidRPr="00D44F19" w:rsidRDefault="00D44F19" w:rsidP="00D44F19">
            <w:pPr>
              <w:jc w:val="center"/>
              <w:rPr>
                <w:b/>
              </w:rPr>
            </w:pPr>
            <w:r w:rsidRPr="00D44F19">
              <w:rPr>
                <w:b/>
              </w:rPr>
              <w:t>Частично</w:t>
            </w:r>
            <w:r w:rsidR="00C61768">
              <w:rPr>
                <w:b/>
                <w:lang w:val="bg-BG"/>
              </w:rPr>
              <w:t>.</w:t>
            </w:r>
          </w:p>
          <w:p w:rsidR="00D44F19" w:rsidRPr="00D44F19" w:rsidRDefault="00C61768" w:rsidP="00C61768">
            <w:pPr>
              <w:jc w:val="both"/>
            </w:pPr>
            <w:r>
              <w:rPr>
                <w:lang w:val="bg-BG"/>
              </w:rPr>
              <w:t xml:space="preserve">Пълното транспониране ще бъде осъществено с приемането на НИД на </w:t>
            </w:r>
            <w:r w:rsidR="00D44F19" w:rsidRPr="001B6A38">
              <w:t>Наредба № 16 от 20 юни 2006</w:t>
            </w:r>
            <w:r w:rsidR="00087A29">
              <w:t> </w:t>
            </w:r>
            <w:r w:rsidR="00D44F19" w:rsidRPr="001B6A38">
              <w:t xml:space="preserve">г. за обработка и </w:t>
            </w:r>
            <w:r w:rsidR="00D44F19" w:rsidRPr="001B6A38">
              <w:lastRenderedPageBreak/>
              <w:t>превоз на опасни и/или замърсяващи товари по море и на опасни товари по вътрешни водни пътища</w:t>
            </w:r>
          </w:p>
        </w:tc>
      </w:tr>
      <w:tr w:rsidR="00D44F19" w:rsidRPr="00D44F19" w:rsidTr="00087A29">
        <w:tc>
          <w:tcPr>
            <w:tcW w:w="5949" w:type="dxa"/>
          </w:tcPr>
          <w:p w:rsidR="00C62DE8" w:rsidRDefault="00C62DE8" w:rsidP="00C62DE8">
            <w:pPr>
              <w:pStyle w:val="oj-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Член 2</w:t>
            </w:r>
          </w:p>
          <w:p w:rsidR="00C62DE8" w:rsidRDefault="00C62DE8" w:rsidP="00C62DE8">
            <w:pPr>
              <w:pStyle w:val="oj-sti-art"/>
              <w:shd w:val="clear" w:color="auto" w:fill="FFFFFF"/>
              <w:spacing w:before="60" w:beforeAutospacing="0" w:after="120" w:afterAutospacing="0"/>
              <w:jc w:val="center"/>
              <w:rPr>
                <w:rFonts w:ascii="inherit" w:hAnsi="inherit"/>
                <w:b/>
                <w:bCs/>
                <w:color w:val="000000"/>
              </w:rPr>
            </w:pPr>
            <w:r>
              <w:rPr>
                <w:rFonts w:ascii="inherit" w:hAnsi="inherit"/>
                <w:b/>
                <w:bCs/>
                <w:color w:val="000000"/>
              </w:rPr>
              <w:t>Транспониране</w:t>
            </w:r>
          </w:p>
          <w:p w:rsidR="00C62DE8" w:rsidRDefault="00C62DE8" w:rsidP="00C62DE8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1.   Държавите членки въвеждат в сила законовите, подзаконовите и административните разпоредби, необходими, за да се съобразят с настоящата директива, най-късно до 30 юни 2025 г. Те незабавно съобщават на Комисията текста на тези разпоредби.</w:t>
            </w:r>
          </w:p>
          <w:p w:rsidR="00C62DE8" w:rsidRDefault="00C62DE8" w:rsidP="00C62DE8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Когато държавите членки приемат тези разпоредби, в тях се съдържа позоваване на настоящата директива или то се извършва при официалното им публикуване. Условията и редът на позоваване се определят от държавите членки.</w:t>
            </w:r>
          </w:p>
          <w:p w:rsidR="00D44F19" w:rsidRPr="00D44F19" w:rsidRDefault="00C62DE8" w:rsidP="00C62DE8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</w:pPr>
            <w:r>
              <w:rPr>
                <w:rFonts w:ascii="inherit" w:hAnsi="inherit"/>
                <w:color w:val="000000"/>
              </w:rPr>
              <w:t>2.   Държавите членки съобщават на Комисията текста на основните разпоредби от националното законодателство, които те приемат в областта, уредена с настоящата директива.</w:t>
            </w:r>
          </w:p>
        </w:tc>
        <w:tc>
          <w:tcPr>
            <w:tcW w:w="5440" w:type="dxa"/>
          </w:tcPr>
          <w:p w:rsidR="00FB1477" w:rsidRPr="00CB52EF" w:rsidRDefault="00FB1477" w:rsidP="00FB1477">
            <w:pPr>
              <w:jc w:val="both"/>
            </w:pPr>
            <w:r w:rsidRPr="00CB52EF">
              <w:rPr>
                <w:b/>
              </w:rPr>
              <w:t>§ 2.</w:t>
            </w:r>
            <w:r w:rsidRPr="00CB52EF">
              <w:t xml:space="preserve"> В § 1а от Допълнителните разпоредби се създава т. </w:t>
            </w:r>
            <w:r w:rsidR="00C62DE8">
              <w:rPr>
                <w:lang w:val="bg-BG"/>
              </w:rPr>
              <w:t>7</w:t>
            </w:r>
            <w:r w:rsidRPr="00CB52EF">
              <w:t>:</w:t>
            </w:r>
          </w:p>
          <w:p w:rsidR="00C62DE8" w:rsidRPr="00E62657" w:rsidRDefault="00FB1477" w:rsidP="00FB1477">
            <w:pPr>
              <w:ind w:firstLine="709"/>
              <w:jc w:val="both"/>
              <w:rPr>
                <w:lang w:val="bg-BG"/>
              </w:rPr>
            </w:pPr>
            <w:r w:rsidRPr="00CB52EF">
              <w:t>„</w:t>
            </w:r>
            <w:r w:rsidR="00C62DE8">
              <w:rPr>
                <w:lang w:val="bg-BG"/>
              </w:rPr>
              <w:t>7</w:t>
            </w:r>
            <w:r w:rsidRPr="00CB52EF">
              <w:t xml:space="preserve">. Член 1, параграф 3 от </w:t>
            </w:r>
            <w:r w:rsidR="00C62DE8" w:rsidRPr="00C62DE8">
              <w:t xml:space="preserve">Делегирана директива (ЕС) 2025/149 на Комисията от 15 ноември 2024 г. за изменение на приложенията към Директива 2008/68/ЕО на Европейския парламент и на Съвета с цел отчитане на научно-техническия прогрес (OB L, 2025/149 от </w:t>
            </w:r>
            <w:r w:rsidR="00C62DE8">
              <w:rPr>
                <w:rFonts w:ascii="inherit" w:hAnsi="inherit"/>
                <w:color w:val="000000"/>
              </w:rPr>
              <w:t>24.1.2025</w:t>
            </w:r>
            <w:r w:rsidR="00C62DE8">
              <w:rPr>
                <w:lang w:val="bg-BG"/>
              </w:rPr>
              <w:t xml:space="preserve">  </w:t>
            </w:r>
            <w:r w:rsidR="00C62DE8" w:rsidRPr="00C62DE8">
              <w:t>г.)</w:t>
            </w:r>
            <w:r w:rsidR="00E62657">
              <w:rPr>
                <w:lang w:val="bg-BG"/>
              </w:rPr>
              <w:t>“.</w:t>
            </w:r>
          </w:p>
          <w:p w:rsidR="00C62DE8" w:rsidRDefault="00C62DE8" w:rsidP="00FB1477">
            <w:pPr>
              <w:ind w:firstLine="709"/>
              <w:jc w:val="both"/>
            </w:pPr>
          </w:p>
          <w:p w:rsidR="00D44F19" w:rsidRPr="00D44F19" w:rsidRDefault="00D44F19" w:rsidP="00C62DE8">
            <w:pPr>
              <w:ind w:firstLine="709"/>
              <w:jc w:val="both"/>
            </w:pPr>
          </w:p>
        </w:tc>
        <w:tc>
          <w:tcPr>
            <w:tcW w:w="2781" w:type="dxa"/>
          </w:tcPr>
          <w:p w:rsidR="00D44F19" w:rsidRPr="00D44F19" w:rsidRDefault="00D44F19" w:rsidP="00D44F19">
            <w:pPr>
              <w:jc w:val="center"/>
              <w:rPr>
                <w:b/>
              </w:rPr>
            </w:pPr>
            <w:r w:rsidRPr="00D44F19">
              <w:rPr>
                <w:b/>
              </w:rPr>
              <w:t>Частично</w:t>
            </w:r>
            <w:r w:rsidR="00C61768">
              <w:rPr>
                <w:b/>
                <w:lang w:val="bg-BG"/>
              </w:rPr>
              <w:t>.</w:t>
            </w:r>
            <w:r w:rsidRPr="00D44F19">
              <w:rPr>
                <w:b/>
              </w:rPr>
              <w:t xml:space="preserve"> </w:t>
            </w:r>
          </w:p>
          <w:p w:rsidR="00D44F19" w:rsidRPr="00D44F19" w:rsidRDefault="00C61768" w:rsidP="00087A29">
            <w:pPr>
              <w:jc w:val="both"/>
            </w:pPr>
            <w:r>
              <w:rPr>
                <w:lang w:val="bg-BG"/>
              </w:rPr>
              <w:t xml:space="preserve">Пълното транспониране ще бъде осъществено с приемането на НИД на </w:t>
            </w:r>
            <w:r w:rsidR="00D44F19" w:rsidRPr="001B6A38">
              <w:t>Наредба № 16 от 20 юни 2006</w:t>
            </w:r>
            <w:r w:rsidR="00087A29">
              <w:t> </w:t>
            </w:r>
            <w:r w:rsidR="00D44F19" w:rsidRPr="001B6A38">
              <w:t>г. за обработка и превоз на опасни и/или замърсяващи товари по море и на опасни товари по вътрешни водни пътища</w:t>
            </w:r>
          </w:p>
        </w:tc>
      </w:tr>
      <w:tr w:rsidR="00D44F19" w:rsidRPr="00D44F19" w:rsidTr="00087A29">
        <w:tc>
          <w:tcPr>
            <w:tcW w:w="5949" w:type="dxa"/>
          </w:tcPr>
          <w:p w:rsidR="00C62DE8" w:rsidRDefault="00C62DE8" w:rsidP="00C62DE8">
            <w:pPr>
              <w:pStyle w:val="oj-ti-art"/>
              <w:shd w:val="clear" w:color="auto" w:fill="FFFFFF"/>
              <w:spacing w:before="360" w:beforeAutospacing="0" w:after="120" w:afterAutospacing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Член 3</w:t>
            </w:r>
          </w:p>
          <w:p w:rsidR="00C62DE8" w:rsidRDefault="00C62DE8" w:rsidP="00C62DE8">
            <w:pPr>
              <w:pStyle w:val="oj-sti-art"/>
              <w:shd w:val="clear" w:color="auto" w:fill="FFFFFF"/>
              <w:spacing w:before="60" w:beforeAutospacing="0" w:after="120" w:afterAutospacing="0"/>
              <w:jc w:val="center"/>
              <w:rPr>
                <w:rFonts w:ascii="inherit" w:hAnsi="inherit"/>
                <w:b/>
                <w:bCs/>
                <w:color w:val="000000"/>
              </w:rPr>
            </w:pPr>
            <w:r>
              <w:rPr>
                <w:rFonts w:ascii="inherit" w:hAnsi="inherit"/>
                <w:b/>
                <w:bCs/>
                <w:color w:val="000000"/>
              </w:rPr>
              <w:t>Влизане в сила</w:t>
            </w:r>
          </w:p>
          <w:p w:rsidR="00C62DE8" w:rsidRDefault="00C62DE8" w:rsidP="00C62DE8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Настоящата директива влиза в сила на двадесетия ден след деня на публикуването ѝ в </w:t>
            </w:r>
            <w:r>
              <w:rPr>
                <w:rStyle w:val="oj-italic"/>
                <w:rFonts w:ascii="inherit" w:hAnsi="inherit"/>
                <w:i/>
                <w:iCs/>
                <w:color w:val="000000"/>
              </w:rPr>
              <w:t>Официален вестник на Европейския съюз</w:t>
            </w:r>
            <w:r>
              <w:rPr>
                <w:color w:val="000000"/>
              </w:rPr>
              <w:t>.</w:t>
            </w:r>
          </w:p>
          <w:p w:rsidR="00FB1477" w:rsidRPr="00D44F19" w:rsidRDefault="00FB1477" w:rsidP="0062159B">
            <w:pPr>
              <w:shd w:val="clear" w:color="auto" w:fill="FFFFFF"/>
              <w:spacing w:line="312" w:lineRule="atLeast"/>
              <w:jc w:val="both"/>
            </w:pPr>
          </w:p>
        </w:tc>
        <w:tc>
          <w:tcPr>
            <w:tcW w:w="5440" w:type="dxa"/>
          </w:tcPr>
          <w:p w:rsidR="00D44F19" w:rsidRPr="00D44F19" w:rsidRDefault="00D44F19" w:rsidP="00D44F19">
            <w:pPr>
              <w:jc w:val="both"/>
            </w:pPr>
          </w:p>
        </w:tc>
        <w:tc>
          <w:tcPr>
            <w:tcW w:w="2781" w:type="dxa"/>
          </w:tcPr>
          <w:p w:rsidR="00D44F19" w:rsidRPr="00D44F19" w:rsidRDefault="00D44F19" w:rsidP="00D44F19">
            <w:pPr>
              <w:jc w:val="both"/>
              <w:rPr>
                <w:b/>
              </w:rPr>
            </w:pPr>
            <w:r w:rsidRPr="00D44F19">
              <w:rPr>
                <w:b/>
              </w:rPr>
              <w:t>Не подлежи на въвеждане</w:t>
            </w:r>
          </w:p>
        </w:tc>
      </w:tr>
      <w:tr w:rsidR="0062159B" w:rsidRPr="00D44F19" w:rsidTr="00087A29">
        <w:trPr>
          <w:trHeight w:val="1380"/>
        </w:trPr>
        <w:tc>
          <w:tcPr>
            <w:tcW w:w="5949" w:type="dxa"/>
          </w:tcPr>
          <w:p w:rsidR="00C62DE8" w:rsidRDefault="00C62DE8" w:rsidP="00C62DE8">
            <w:pPr>
              <w:pStyle w:val="oj-ti-art"/>
              <w:shd w:val="clear" w:color="auto" w:fill="FFFFFF"/>
              <w:spacing w:before="360" w:beforeAutospacing="0" w:after="120" w:afterAutospacing="0"/>
              <w:jc w:val="center"/>
              <w:rPr>
                <w:rFonts w:ascii="inherit" w:hAnsi="inherit"/>
                <w:i/>
                <w:iCs/>
                <w:color w:val="000000"/>
              </w:rPr>
            </w:pPr>
            <w:r>
              <w:rPr>
                <w:rFonts w:ascii="inherit" w:hAnsi="inherit"/>
                <w:i/>
                <w:iCs/>
                <w:color w:val="000000"/>
              </w:rPr>
              <w:lastRenderedPageBreak/>
              <w:t>Член 4</w:t>
            </w:r>
          </w:p>
          <w:p w:rsidR="00C62DE8" w:rsidRDefault="00C62DE8" w:rsidP="00C62DE8">
            <w:pPr>
              <w:pStyle w:val="oj-sti-art"/>
              <w:shd w:val="clear" w:color="auto" w:fill="FFFFFF"/>
              <w:spacing w:before="60" w:beforeAutospacing="0" w:after="120" w:afterAutospacing="0"/>
              <w:jc w:val="center"/>
              <w:rPr>
                <w:rFonts w:ascii="inherit" w:hAnsi="inherit"/>
                <w:b/>
                <w:bCs/>
                <w:color w:val="000000"/>
              </w:rPr>
            </w:pPr>
            <w:r>
              <w:rPr>
                <w:rFonts w:ascii="inherit" w:hAnsi="inherit"/>
                <w:b/>
                <w:bCs/>
                <w:color w:val="000000"/>
              </w:rPr>
              <w:t>Адресати</w:t>
            </w:r>
          </w:p>
          <w:p w:rsidR="00C62DE8" w:rsidRDefault="00C62DE8" w:rsidP="00C62DE8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Адресати на настоящата директива са държавите членки.</w:t>
            </w:r>
          </w:p>
          <w:p w:rsidR="00C62DE8" w:rsidRDefault="00C62DE8" w:rsidP="00C62DE8">
            <w:pPr>
              <w:pStyle w:val="oj-normal"/>
              <w:shd w:val="clear" w:color="auto" w:fill="FFFFFF"/>
              <w:spacing w:before="120" w:beforeAutospacing="0" w:after="0" w:afterAutospacing="0"/>
              <w:jc w:val="both"/>
              <w:rPr>
                <w:rFonts w:ascii="inherit" w:hAnsi="inherit"/>
                <w:color w:val="000000"/>
              </w:rPr>
            </w:pPr>
            <w:r>
              <w:rPr>
                <w:rFonts w:ascii="inherit" w:hAnsi="inherit"/>
                <w:color w:val="000000"/>
              </w:rPr>
              <w:t>Съставено в Брюксел на 15 ноември 2024 година.</w:t>
            </w:r>
          </w:p>
          <w:p w:rsidR="00C62DE8" w:rsidRDefault="00C62DE8" w:rsidP="00C62DE8">
            <w:pPr>
              <w:pStyle w:val="oj-signatory"/>
              <w:shd w:val="clear" w:color="auto" w:fill="FFFFFF"/>
              <w:spacing w:before="60" w:beforeAutospacing="0" w:after="60" w:afterAutospacing="0"/>
              <w:jc w:val="center"/>
              <w:rPr>
                <w:rFonts w:ascii="inherit" w:hAnsi="inherit"/>
                <w:color w:val="000000"/>
              </w:rPr>
            </w:pPr>
            <w:r>
              <w:rPr>
                <w:rStyle w:val="oj-italic"/>
                <w:rFonts w:ascii="inherit" w:hAnsi="inherit"/>
                <w:i/>
                <w:iCs/>
                <w:color w:val="000000"/>
              </w:rPr>
              <w:t>За Комисията</w:t>
            </w:r>
          </w:p>
          <w:p w:rsidR="00C62DE8" w:rsidRDefault="00C62DE8" w:rsidP="00C62DE8">
            <w:pPr>
              <w:pStyle w:val="oj-signatory"/>
              <w:shd w:val="clear" w:color="auto" w:fill="FFFFFF"/>
              <w:spacing w:before="60" w:beforeAutospacing="0" w:after="60" w:afterAutospacing="0"/>
              <w:jc w:val="center"/>
              <w:rPr>
                <w:rFonts w:ascii="inherit" w:hAnsi="inherit"/>
                <w:color w:val="000000"/>
              </w:rPr>
            </w:pPr>
            <w:r>
              <w:rPr>
                <w:rStyle w:val="oj-italic"/>
                <w:rFonts w:ascii="inherit" w:hAnsi="inherit"/>
                <w:i/>
                <w:iCs/>
                <w:color w:val="000000"/>
              </w:rPr>
              <w:t>Председател</w:t>
            </w:r>
          </w:p>
          <w:p w:rsidR="00C62DE8" w:rsidRDefault="00C62DE8" w:rsidP="00C62DE8">
            <w:pPr>
              <w:pStyle w:val="oj-signatory"/>
              <w:shd w:val="clear" w:color="auto" w:fill="FFFFFF"/>
              <w:spacing w:before="60" w:beforeAutospacing="0" w:after="60" w:afterAutospacing="0"/>
              <w:jc w:val="center"/>
              <w:rPr>
                <w:rFonts w:ascii="inherit" w:hAnsi="inherit"/>
                <w:color w:val="000000"/>
              </w:rPr>
            </w:pPr>
            <w:proofErr w:type="spellStart"/>
            <w:r>
              <w:rPr>
                <w:rFonts w:ascii="inherit" w:hAnsi="inherit"/>
                <w:color w:val="000000"/>
              </w:rPr>
              <w:t>Ursula</w:t>
            </w:r>
            <w:proofErr w:type="spellEnd"/>
            <w:r>
              <w:rPr>
                <w:rFonts w:ascii="inherit" w:hAnsi="inherit"/>
                <w:color w:val="000000"/>
              </w:rPr>
              <w:t xml:space="preserve"> VON DER LEYEN</w:t>
            </w:r>
          </w:p>
          <w:p w:rsidR="0062159B" w:rsidRPr="00D44F19" w:rsidRDefault="0062159B" w:rsidP="0062159B">
            <w:pPr>
              <w:shd w:val="clear" w:color="auto" w:fill="FFFFFF"/>
              <w:jc w:val="both"/>
              <w:rPr>
                <w:rFonts w:eastAsia="Times New Roman"/>
                <w:i/>
                <w:iCs/>
                <w:noProof w:val="0"/>
                <w:color w:val="333333"/>
                <w:lang w:val="bg-BG" w:eastAsia="bg-BG"/>
              </w:rPr>
            </w:pPr>
          </w:p>
        </w:tc>
        <w:tc>
          <w:tcPr>
            <w:tcW w:w="5440" w:type="dxa"/>
          </w:tcPr>
          <w:p w:rsidR="0062159B" w:rsidRPr="00D44F19" w:rsidRDefault="0062159B" w:rsidP="00D44F19">
            <w:pPr>
              <w:jc w:val="both"/>
            </w:pPr>
          </w:p>
        </w:tc>
        <w:tc>
          <w:tcPr>
            <w:tcW w:w="2781" w:type="dxa"/>
          </w:tcPr>
          <w:p w:rsidR="0062159B" w:rsidRPr="00D44F19" w:rsidRDefault="0062159B" w:rsidP="00D44F19">
            <w:pPr>
              <w:jc w:val="both"/>
              <w:rPr>
                <w:b/>
              </w:rPr>
            </w:pPr>
            <w:r w:rsidRPr="00D44F19">
              <w:rPr>
                <w:b/>
              </w:rPr>
              <w:t>Не подлежи на въвеждане</w:t>
            </w:r>
          </w:p>
        </w:tc>
      </w:tr>
    </w:tbl>
    <w:p w:rsidR="00D44F19" w:rsidRDefault="00D44F19" w:rsidP="0062159B"/>
    <w:p w:rsidR="00B9523B" w:rsidRPr="00F970E2" w:rsidRDefault="00B9523B" w:rsidP="00B9523B">
      <w:pPr>
        <w:shd w:val="clear" w:color="auto" w:fill="FFFFFF"/>
        <w:ind w:right="1133"/>
        <w:jc w:val="both"/>
        <w:textAlignment w:val="center"/>
        <w:rPr>
          <w:rFonts w:eastAsia="Calibri"/>
          <w:color w:val="FFFFFF" w:themeColor="background1"/>
          <w:sz w:val="20"/>
        </w:rPr>
      </w:pPr>
      <w:r w:rsidRPr="00F970E2">
        <w:rPr>
          <w:rFonts w:eastAsia="Calibri"/>
          <w:color w:val="FFFFFF" w:themeColor="background1"/>
          <w:sz w:val="20"/>
        </w:rPr>
        <w:t>Изготвил:</w:t>
      </w:r>
    </w:p>
    <w:p w:rsidR="00B9523B" w:rsidRPr="00F970E2" w:rsidRDefault="00B9523B" w:rsidP="00B9523B">
      <w:pPr>
        <w:shd w:val="clear" w:color="auto" w:fill="FFFFFF"/>
        <w:ind w:right="1133"/>
        <w:jc w:val="both"/>
        <w:textAlignment w:val="center"/>
        <w:rPr>
          <w:rFonts w:eastAsia="Calibri"/>
          <w:b/>
          <w:color w:val="FFFFFF" w:themeColor="background1"/>
          <w:sz w:val="20"/>
          <w:lang w:val="bg-BG"/>
        </w:rPr>
      </w:pPr>
      <w:r w:rsidRPr="00F970E2">
        <w:rPr>
          <w:rFonts w:eastAsia="Calibri"/>
          <w:b/>
          <w:color w:val="FFFFFF" w:themeColor="background1"/>
          <w:sz w:val="20"/>
        </w:rPr>
        <w:t>Елеонора Караколева</w:t>
      </w:r>
      <w:r w:rsidRPr="00F970E2">
        <w:rPr>
          <w:rFonts w:eastAsia="Calibri"/>
          <w:color w:val="FFFFFF" w:themeColor="background1"/>
          <w:sz w:val="20"/>
          <w:lang w:val="bg-BG"/>
        </w:rPr>
        <w:t xml:space="preserve">, </w:t>
      </w:r>
    </w:p>
    <w:p w:rsidR="00B9523B" w:rsidRPr="00F970E2" w:rsidRDefault="00B9523B" w:rsidP="00B9523B">
      <w:pPr>
        <w:shd w:val="clear" w:color="auto" w:fill="FFFFFF"/>
        <w:ind w:right="1133"/>
        <w:jc w:val="both"/>
        <w:textAlignment w:val="center"/>
        <w:rPr>
          <w:color w:val="FFFFFF" w:themeColor="background1"/>
        </w:rPr>
      </w:pPr>
      <w:r w:rsidRPr="00F970E2">
        <w:rPr>
          <w:i/>
          <w:color w:val="FFFFFF" w:themeColor="background1"/>
          <w:sz w:val="20"/>
        </w:rPr>
        <w:t>Старши експерт, ППУ, ИАМА</w:t>
      </w:r>
    </w:p>
    <w:p w:rsidR="00B9523B" w:rsidRPr="00D44F19" w:rsidRDefault="00B9523B" w:rsidP="0062159B"/>
    <w:sectPr w:rsidR="00B9523B" w:rsidRPr="00D44F19" w:rsidSect="00D44F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9"/>
    <w:rsid w:val="00015174"/>
    <w:rsid w:val="00087A29"/>
    <w:rsid w:val="000C7261"/>
    <w:rsid w:val="0034583C"/>
    <w:rsid w:val="0062159B"/>
    <w:rsid w:val="006A5480"/>
    <w:rsid w:val="0093474D"/>
    <w:rsid w:val="00A50C72"/>
    <w:rsid w:val="00B14FE0"/>
    <w:rsid w:val="00B9523B"/>
    <w:rsid w:val="00C61768"/>
    <w:rsid w:val="00C62DE8"/>
    <w:rsid w:val="00D44F19"/>
    <w:rsid w:val="00D62BE4"/>
    <w:rsid w:val="00E62657"/>
    <w:rsid w:val="00F970E2"/>
    <w:rsid w:val="00FB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97421-BA9D-4704-AB0B-B3721874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j-ti-art">
    <w:name w:val="oj-ti-art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sti-art">
    <w:name w:val="oj-sti-art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normal">
    <w:name w:val="oj-normal"/>
    <w:basedOn w:val="Normal"/>
    <w:rsid w:val="00D44F19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character" w:customStyle="1" w:styleId="oj-italic">
    <w:name w:val="oj-italic"/>
    <w:basedOn w:val="DefaultParagraphFont"/>
    <w:rsid w:val="00D44F19"/>
  </w:style>
  <w:style w:type="paragraph" w:customStyle="1" w:styleId="oj-ti-grseq-1">
    <w:name w:val="oj-ti-grseq-1"/>
    <w:basedOn w:val="Normal"/>
    <w:rsid w:val="00C62DE8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hd-date">
    <w:name w:val="oj-hd-date"/>
    <w:basedOn w:val="Normal"/>
    <w:rsid w:val="00C62DE8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customStyle="1" w:styleId="oj-signatory">
    <w:name w:val="oj-signatory"/>
    <w:basedOn w:val="Normal"/>
    <w:rsid w:val="00C62DE8"/>
    <w:pPr>
      <w:spacing w:before="100" w:beforeAutospacing="1" w:after="100" w:afterAutospacing="1" w:line="240" w:lineRule="auto"/>
    </w:pPr>
    <w:rPr>
      <w:rFonts w:eastAsia="Times New Roman"/>
      <w:noProof w:val="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768"/>
    <w:rPr>
      <w:rFonts w:ascii="Segoe UI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8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947">
              <w:marLeft w:val="810"/>
              <w:marRight w:val="81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4418">
                  <w:marLeft w:val="4005"/>
                  <w:marRight w:val="8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205">
          <w:marLeft w:val="810"/>
          <w:marRight w:val="8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Karakoleva</dc:creator>
  <cp:keywords/>
  <dc:description/>
  <cp:lastModifiedBy>Antoaneta Georgieva</cp:lastModifiedBy>
  <cp:revision>2</cp:revision>
  <dcterms:created xsi:type="dcterms:W3CDTF">2025-04-04T09:00:00Z</dcterms:created>
  <dcterms:modified xsi:type="dcterms:W3CDTF">2025-04-04T09:00:00Z</dcterms:modified>
</cp:coreProperties>
</file>